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7B" w:rsidRDefault="00D4177B" w:rsidP="00393699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DEPARTAMENTO DE ASUNTOS LABORALES</w:t>
      </w:r>
    </w:p>
    <w:p w:rsidR="00D4177B" w:rsidRDefault="00D4177B" w:rsidP="00393699">
      <w:pPr>
        <w:rPr>
          <w:rFonts w:ascii="Arial" w:hAnsi="Arial" w:cs="Arial"/>
          <w:b/>
          <w:bCs/>
          <w:sz w:val="32"/>
        </w:rPr>
      </w:pPr>
      <w:bookmarkStart w:id="0" w:name="_GoBack"/>
      <w:bookmarkEnd w:id="0"/>
    </w:p>
    <w:p w:rsidR="00393699" w:rsidRDefault="00393699" w:rsidP="00393699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DEPARTAMENTO DE ESTUDIOS TRIBUTARIOS</w:t>
      </w:r>
    </w:p>
    <w:p w:rsidR="00393699" w:rsidRPr="00834307" w:rsidRDefault="00393699" w:rsidP="00393699">
      <w:pPr>
        <w:rPr>
          <w:rFonts w:ascii="Arial" w:hAnsi="Arial" w:cs="Arial"/>
          <w:b/>
          <w:bCs/>
          <w:sz w:val="16"/>
          <w:szCs w:val="16"/>
        </w:rPr>
      </w:pPr>
    </w:p>
    <w:p w:rsidR="00393699" w:rsidRDefault="00393699" w:rsidP="00393699">
      <w:pPr>
        <w:rPr>
          <w:rFonts w:ascii="Arial" w:hAnsi="Arial" w:cs="Arial"/>
          <w:b/>
          <w:bCs/>
          <w:sz w:val="36"/>
          <w:szCs w:val="36"/>
        </w:rPr>
      </w:pPr>
    </w:p>
    <w:p w:rsidR="00393699" w:rsidRDefault="001176D9" w:rsidP="00393699">
      <w:pPr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C2016-</w:t>
      </w:r>
      <w:r w:rsidR="007515C2">
        <w:rPr>
          <w:rFonts w:ascii="Arial" w:hAnsi="Arial" w:cs="Arial"/>
          <w:b/>
          <w:bCs/>
          <w:sz w:val="36"/>
          <w:szCs w:val="36"/>
        </w:rPr>
        <w:t>10</w:t>
      </w:r>
      <w:r w:rsidR="0064162D">
        <w:rPr>
          <w:rFonts w:ascii="Arial" w:hAnsi="Arial" w:cs="Arial"/>
          <w:b/>
          <w:bCs/>
          <w:sz w:val="36"/>
          <w:szCs w:val="36"/>
        </w:rPr>
        <w:t>4</w:t>
      </w:r>
    </w:p>
    <w:p w:rsidR="00393699" w:rsidRDefault="00AD1C39" w:rsidP="00393699">
      <w:pPr>
        <w:rPr>
          <w:rFonts w:ascii="Arial" w:hAnsi="Arial" w:cs="Arial"/>
          <w:b/>
          <w:bCs/>
          <w:sz w:val="28"/>
          <w:szCs w:val="28"/>
          <w:lang w:val="es-AR"/>
        </w:rPr>
      </w:pPr>
      <w:r>
        <w:rPr>
          <w:rFonts w:ascii="Arial" w:hAnsi="Arial" w:cs="Arial"/>
          <w:b/>
          <w:bCs/>
          <w:sz w:val="28"/>
          <w:szCs w:val="28"/>
        </w:rPr>
        <w:t xml:space="preserve">CIRCULAR INFORMATIVA Nº </w:t>
      </w:r>
      <w:r w:rsidR="00CE1761">
        <w:rPr>
          <w:rFonts w:ascii="Arial" w:hAnsi="Arial" w:cs="Arial"/>
          <w:b/>
          <w:bCs/>
          <w:sz w:val="28"/>
          <w:szCs w:val="28"/>
        </w:rPr>
        <w:t>10</w:t>
      </w:r>
      <w:r w:rsidR="0064162D">
        <w:rPr>
          <w:rFonts w:ascii="Arial" w:hAnsi="Arial" w:cs="Arial"/>
          <w:b/>
          <w:bCs/>
          <w:sz w:val="28"/>
          <w:szCs w:val="28"/>
        </w:rPr>
        <w:t>4</w:t>
      </w:r>
    </w:p>
    <w:p w:rsidR="00393699" w:rsidRDefault="00393699" w:rsidP="00393699">
      <w:pPr>
        <w:rPr>
          <w:rFonts w:ascii="Arial" w:hAnsi="Arial" w:cs="Arial"/>
          <w:color w:val="000000"/>
          <w:sz w:val="24"/>
          <w:szCs w:val="24"/>
        </w:rPr>
      </w:pPr>
    </w:p>
    <w:p w:rsidR="00E96182" w:rsidRPr="00E96182" w:rsidRDefault="00E96182" w:rsidP="00393699">
      <w:pPr>
        <w:rPr>
          <w:rFonts w:ascii="Arial" w:hAnsi="Arial" w:cs="Arial"/>
          <w:color w:val="000000"/>
          <w:sz w:val="24"/>
          <w:szCs w:val="24"/>
        </w:rPr>
      </w:pPr>
    </w:p>
    <w:p w:rsidR="0064162D" w:rsidRPr="0064162D" w:rsidRDefault="002061B4" w:rsidP="0064162D">
      <w:pPr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Tema: </w:t>
      </w:r>
      <w:r w:rsidR="0064162D" w:rsidRPr="0064162D">
        <w:rPr>
          <w:rFonts w:ascii="Arial" w:hAnsi="Arial" w:cs="Arial"/>
          <w:b/>
          <w:lang w:val="es-ES"/>
        </w:rPr>
        <w:t xml:space="preserve">Prórroga del régimen de reducción de contribuciones para empleadores de hasta 80 trabajadores por incremento de la nómina </w:t>
      </w:r>
      <w:proofErr w:type="gramStart"/>
      <w:r w:rsidR="0064162D" w:rsidRPr="0064162D">
        <w:rPr>
          <w:rFonts w:ascii="Arial" w:hAnsi="Arial" w:cs="Arial"/>
          <w:b/>
          <w:lang w:val="es-ES"/>
        </w:rPr>
        <w:t>laboral.-</w:t>
      </w:r>
      <w:proofErr w:type="gramEnd"/>
    </w:p>
    <w:p w:rsidR="0064162D" w:rsidRPr="0064162D" w:rsidRDefault="0064162D" w:rsidP="0064162D">
      <w:pPr>
        <w:rPr>
          <w:rFonts w:ascii="Arial" w:hAnsi="Arial" w:cs="Arial"/>
          <w:u w:val="single"/>
          <w:lang w:val="es-ES"/>
        </w:rPr>
      </w:pPr>
    </w:p>
    <w:p w:rsidR="0064162D" w:rsidRPr="0064162D" w:rsidRDefault="0064162D" w:rsidP="0064162D">
      <w:pPr>
        <w:rPr>
          <w:rFonts w:ascii="Arial" w:hAnsi="Arial" w:cs="Arial"/>
          <w:b/>
          <w:bCs/>
          <w:i/>
          <w:iCs/>
          <w:lang w:val="es-AR"/>
        </w:rPr>
      </w:pPr>
      <w:r w:rsidRPr="0064162D">
        <w:rPr>
          <w:rFonts w:ascii="Arial" w:hAnsi="Arial" w:cs="Arial"/>
          <w:lang w:val="es-ES"/>
        </w:rPr>
        <w:t xml:space="preserve">Con bastante demora, aunque menos que el año pasado que se conoció en septiembre (decreto 1801/2015) cuando ya estaban venciendo las liquidaciones de contribuciones patronales del mes de agosto de 2015, se ha publicado en el Boletín Oficial del 19 de agosto el decreto 946/2016, que sólo dispone que </w:t>
      </w:r>
      <w:proofErr w:type="gramStart"/>
      <w:r w:rsidRPr="0064162D">
        <w:rPr>
          <w:rFonts w:ascii="Arial" w:hAnsi="Arial" w:cs="Arial"/>
          <w:lang w:val="es-ES"/>
        </w:rPr>
        <w:t xml:space="preserve">se  </w:t>
      </w:r>
      <w:r w:rsidRPr="0064162D">
        <w:rPr>
          <w:rFonts w:ascii="Arial" w:hAnsi="Arial" w:cs="Arial"/>
          <w:b/>
          <w:bCs/>
          <w:lang w:val="es-ES"/>
        </w:rPr>
        <w:t>prorroga</w:t>
      </w:r>
      <w:proofErr w:type="gramEnd"/>
      <w:r w:rsidRPr="0064162D">
        <w:rPr>
          <w:rFonts w:ascii="Arial" w:hAnsi="Arial" w:cs="Arial"/>
          <w:i/>
          <w:iCs/>
          <w:lang w:val="es-ES"/>
        </w:rPr>
        <w:t xml:space="preserve"> </w:t>
      </w:r>
      <w:r w:rsidRPr="0064162D">
        <w:rPr>
          <w:rFonts w:ascii="Arial" w:hAnsi="Arial" w:cs="Arial"/>
          <w:b/>
          <w:bCs/>
          <w:i/>
          <w:iCs/>
          <w:lang w:val="es-ES"/>
        </w:rPr>
        <w:t>“…</w:t>
      </w:r>
      <w:r w:rsidRPr="0064162D">
        <w:rPr>
          <w:rFonts w:ascii="Arial" w:hAnsi="Arial" w:cs="Arial"/>
          <w:b/>
          <w:bCs/>
          <w:i/>
          <w:iCs/>
          <w:lang w:val="es-AR"/>
        </w:rPr>
        <w:t>desde el 1° de agosto de 2016 y por el término de DOCE (12) meses el plazo establecido en el artículo 30 de la Ley N° 26.940.”</w:t>
      </w:r>
    </w:p>
    <w:p w:rsidR="0064162D" w:rsidRPr="0064162D" w:rsidRDefault="0064162D" w:rsidP="0064162D">
      <w:pPr>
        <w:rPr>
          <w:rFonts w:ascii="Arial" w:hAnsi="Arial" w:cs="Arial"/>
          <w:b/>
          <w:bCs/>
          <w:i/>
          <w:iCs/>
          <w:lang w:val="es-AR"/>
        </w:rPr>
      </w:pPr>
    </w:p>
    <w:p w:rsidR="0064162D" w:rsidRPr="0064162D" w:rsidRDefault="0064162D" w:rsidP="0064162D">
      <w:pPr>
        <w:rPr>
          <w:rFonts w:ascii="Arial" w:hAnsi="Arial" w:cs="Arial"/>
          <w:b/>
          <w:bCs/>
          <w:lang w:val="es-AR"/>
        </w:rPr>
      </w:pPr>
      <w:r w:rsidRPr="0064162D">
        <w:rPr>
          <w:rFonts w:ascii="Arial" w:hAnsi="Arial" w:cs="Arial"/>
          <w:lang w:val="es-AR"/>
        </w:rPr>
        <w:t>En la reglamentación (Decreto 1714/2014</w:t>
      </w:r>
      <w:proofErr w:type="gramStart"/>
      <w:r w:rsidRPr="0064162D">
        <w:rPr>
          <w:rFonts w:ascii="Arial" w:hAnsi="Arial" w:cs="Arial"/>
          <w:lang w:val="es-AR"/>
        </w:rPr>
        <w:t>)  del</w:t>
      </w:r>
      <w:proofErr w:type="gramEnd"/>
      <w:r w:rsidRPr="0064162D">
        <w:rPr>
          <w:rFonts w:ascii="Arial" w:hAnsi="Arial" w:cs="Arial"/>
          <w:lang w:val="es-AR"/>
        </w:rPr>
        <w:t xml:space="preserve"> artículo 26 de la ley</w:t>
      </w:r>
      <w:r w:rsidRPr="0064162D">
        <w:rPr>
          <w:rFonts w:ascii="Arial" w:hAnsi="Arial" w:cs="Arial"/>
          <w:b/>
          <w:bCs/>
          <w:lang w:val="es-AR"/>
        </w:rPr>
        <w:t xml:space="preserve"> </w:t>
      </w:r>
      <w:r w:rsidRPr="0064162D">
        <w:rPr>
          <w:rFonts w:ascii="Arial" w:hAnsi="Arial" w:cs="Arial"/>
          <w:lang w:val="es-AR"/>
        </w:rPr>
        <w:t xml:space="preserve">antes mencionada se había  establecido el período respecto del cual se determinará el incremento de la nómina laboral, que será el que </w:t>
      </w:r>
      <w:r w:rsidRPr="0064162D">
        <w:rPr>
          <w:rFonts w:ascii="Arial" w:hAnsi="Arial" w:cs="Arial"/>
          <w:b/>
          <w:bCs/>
          <w:lang w:val="es-AR"/>
        </w:rPr>
        <w:t>surja de comparar la cantidad de trabajadores contratados por tiempo indeterminado registrados al mes de marzo de 2014, declaración que será considerada como número base.-</w:t>
      </w:r>
    </w:p>
    <w:p w:rsidR="0064162D" w:rsidRPr="0064162D" w:rsidRDefault="0064162D" w:rsidP="0064162D">
      <w:pPr>
        <w:rPr>
          <w:rFonts w:ascii="Arial" w:hAnsi="Arial" w:cs="Arial"/>
          <w:lang w:val="es-AR"/>
        </w:rPr>
      </w:pPr>
    </w:p>
    <w:p w:rsidR="0064162D" w:rsidRPr="0064162D" w:rsidRDefault="0064162D" w:rsidP="0064162D">
      <w:pPr>
        <w:rPr>
          <w:rFonts w:ascii="Arial" w:hAnsi="Arial" w:cs="Arial"/>
          <w:lang w:val="es-ES"/>
        </w:rPr>
      </w:pPr>
      <w:r w:rsidRPr="0064162D">
        <w:rPr>
          <w:rFonts w:ascii="Arial" w:hAnsi="Arial" w:cs="Arial"/>
          <w:lang w:val="es-AR"/>
        </w:rPr>
        <w:t xml:space="preserve">En su momento </w:t>
      </w:r>
      <w:r w:rsidRPr="0064162D">
        <w:rPr>
          <w:rFonts w:ascii="Arial" w:hAnsi="Arial" w:cs="Arial"/>
          <w:lang w:val="es-ES"/>
        </w:rPr>
        <w:t xml:space="preserve">destacamos que el presente régimen, contenido en el Capítulo II del Título II,  es  optativo para el empleador, por lo que la falta de ejercicio de dicha opción a partir del inicio de la nueva relación laboral por tiempo indeterminado obstará al uso retroactivo por él o los períodos en que no se hubiese gozado el beneficio, habiendo establecido la Resolución General 3684 de la Administración Federal de Ingresos Públicos los códigos </w:t>
      </w:r>
      <w:r w:rsidRPr="0064162D">
        <w:rPr>
          <w:rFonts w:ascii="Arial" w:hAnsi="Arial" w:cs="Arial"/>
          <w:lang w:val="es-AR"/>
        </w:rPr>
        <w:t>que se deben utilizar para usufructuar el mismo.-</w:t>
      </w:r>
      <w:r w:rsidRPr="0064162D">
        <w:rPr>
          <w:rFonts w:ascii="Arial" w:hAnsi="Arial" w:cs="Arial"/>
          <w:lang w:val="es-ES"/>
        </w:rPr>
        <w:t xml:space="preserve"> La Administración Federal de Ingresos Públicos ya en los primeros días de agosto </w:t>
      </w:r>
      <w:r w:rsidRPr="0064162D">
        <w:rPr>
          <w:rFonts w:ascii="Arial" w:hAnsi="Arial" w:cs="Arial"/>
        </w:rPr>
        <w:t xml:space="preserve"> dio a conocer una nueva versión de las tablas del "Sistema de Cálculo de Obligaciones de la Seguridad Social - SICOSS",  donde en la tabla correspondiente a “Modalidad de Contratación” se expone la fecha de vencimiento de los códigos de este beneficio  con la nueva vigencia establecida por la norma que nos ocupa.-</w:t>
      </w:r>
    </w:p>
    <w:p w:rsidR="0064162D" w:rsidRPr="0064162D" w:rsidRDefault="0064162D" w:rsidP="0064162D">
      <w:pPr>
        <w:rPr>
          <w:rFonts w:ascii="Arial" w:hAnsi="Arial" w:cs="Arial"/>
          <w:lang w:val="es-AR"/>
        </w:rPr>
      </w:pPr>
      <w:r w:rsidRPr="0064162D">
        <w:rPr>
          <w:rFonts w:ascii="Arial" w:hAnsi="Arial" w:cs="Arial"/>
          <w:lang w:val="es-AR"/>
        </w:rPr>
        <w:t xml:space="preserve"> </w:t>
      </w:r>
    </w:p>
    <w:p w:rsidR="0064162D" w:rsidRPr="0064162D" w:rsidRDefault="0064162D" w:rsidP="0064162D">
      <w:pPr>
        <w:rPr>
          <w:rFonts w:ascii="Arial" w:hAnsi="Arial" w:cs="Arial"/>
          <w:lang w:val="es-ES"/>
        </w:rPr>
      </w:pPr>
      <w:r w:rsidRPr="0064162D">
        <w:rPr>
          <w:rFonts w:ascii="Arial" w:hAnsi="Arial" w:cs="Arial"/>
          <w:lang w:val="es-ES"/>
        </w:rPr>
        <w:t xml:space="preserve">Recordamos que el beneficio, con los condicionamientos oportunamente comentados en informes </w:t>
      </w:r>
      <w:proofErr w:type="gramStart"/>
      <w:r w:rsidRPr="0064162D">
        <w:rPr>
          <w:rFonts w:ascii="Arial" w:hAnsi="Arial" w:cs="Arial"/>
          <w:lang w:val="es-ES"/>
        </w:rPr>
        <w:t>anteriores,  consiste</w:t>
      </w:r>
      <w:proofErr w:type="gramEnd"/>
      <w:r w:rsidRPr="0064162D">
        <w:rPr>
          <w:rFonts w:ascii="Arial" w:hAnsi="Arial" w:cs="Arial"/>
          <w:lang w:val="es-ES"/>
        </w:rPr>
        <w:t xml:space="preserve"> en que los empleadores con una dotación de personal de hasta  15 trabajadores, </w:t>
      </w:r>
      <w:r w:rsidRPr="0064162D">
        <w:rPr>
          <w:rFonts w:ascii="Arial" w:hAnsi="Arial" w:cs="Arial"/>
        </w:rPr>
        <w:t>a partir del mes de inicio de una nueva relación laboral por tiempo indeterminado,</w:t>
      </w:r>
      <w:r w:rsidRPr="0064162D">
        <w:rPr>
          <w:rFonts w:ascii="Arial" w:hAnsi="Arial" w:cs="Arial"/>
          <w:lang w:val="es-ES"/>
        </w:rPr>
        <w:t xml:space="preserve"> durante los primeros 12 meses de la relación laboral no  ingresarán las  contribuciones patronales y por los segundos 12 meses pagarán  el  25% de las mismas.-</w:t>
      </w:r>
    </w:p>
    <w:p w:rsidR="0064162D" w:rsidRPr="0064162D" w:rsidRDefault="0064162D" w:rsidP="0064162D">
      <w:pPr>
        <w:rPr>
          <w:rFonts w:ascii="Arial" w:hAnsi="Arial" w:cs="Arial"/>
          <w:lang w:val="es-ES"/>
        </w:rPr>
      </w:pPr>
    </w:p>
    <w:p w:rsidR="00E96182" w:rsidRPr="0064162D" w:rsidRDefault="0064162D" w:rsidP="0064162D">
      <w:pPr>
        <w:rPr>
          <w:rFonts w:ascii="Arial" w:hAnsi="Arial" w:cs="Arial"/>
          <w:color w:val="000000"/>
          <w:lang w:val="es-ES"/>
        </w:rPr>
      </w:pPr>
      <w:r w:rsidRPr="0064162D">
        <w:rPr>
          <w:rFonts w:ascii="Arial" w:hAnsi="Arial" w:cs="Arial"/>
          <w:lang w:val="es-ES"/>
        </w:rPr>
        <w:t xml:space="preserve">Los empleadores que tengan entre 16 y 80 trabajadores, durante los </w:t>
      </w:r>
      <w:proofErr w:type="gramStart"/>
      <w:r w:rsidRPr="0064162D">
        <w:rPr>
          <w:rFonts w:ascii="Arial" w:hAnsi="Arial" w:cs="Arial"/>
          <w:lang w:val="es-ES"/>
        </w:rPr>
        <w:t>primeros  24</w:t>
      </w:r>
      <w:proofErr w:type="gramEnd"/>
      <w:r w:rsidRPr="0064162D">
        <w:rPr>
          <w:rFonts w:ascii="Arial" w:hAnsi="Arial" w:cs="Arial"/>
          <w:lang w:val="es-ES"/>
        </w:rPr>
        <w:t xml:space="preserve"> meses de la relación laboral  ingresarán el cincuenta por ciento 50% de las citadas contribuciones.-</w:t>
      </w:r>
    </w:p>
    <w:sectPr w:rsidR="00E96182" w:rsidRPr="0064162D" w:rsidSect="001938A7">
      <w:headerReference w:type="default" r:id="rId7"/>
      <w:endnotePr>
        <w:numFmt w:val="decimal"/>
      </w:endnotePr>
      <w:pgSz w:w="11907" w:h="16840" w:code="9"/>
      <w:pgMar w:top="2552" w:right="1134" w:bottom="1135" w:left="2268" w:header="709" w:footer="709" w:gutter="0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A2" w:rsidRDefault="003753A2">
      <w:r>
        <w:separator/>
      </w:r>
    </w:p>
  </w:endnote>
  <w:endnote w:type="continuationSeparator" w:id="0">
    <w:p w:rsidR="003753A2" w:rsidRDefault="0037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A2" w:rsidRDefault="003753A2">
      <w:r>
        <w:separator/>
      </w:r>
    </w:p>
  </w:footnote>
  <w:footnote w:type="continuationSeparator" w:id="0">
    <w:p w:rsidR="003753A2" w:rsidRDefault="0037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99" w:rsidRDefault="001176D9">
    <w:pPr>
      <w:pStyle w:val="Encabezado"/>
    </w:pPr>
    <w:r w:rsidRPr="00992F15">
      <w:rPr>
        <w:rFonts w:ascii="Arial" w:hAnsi="Arial" w:cs="Arial"/>
        <w:b/>
        <w:noProof/>
        <w:sz w:val="32"/>
        <w:lang w:val="es-AR"/>
      </w:rPr>
      <w:drawing>
        <wp:inline distT="0" distB="0" distL="0" distR="0">
          <wp:extent cx="2659380" cy="108204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33C"/>
    <w:multiLevelType w:val="hybridMultilevel"/>
    <w:tmpl w:val="A230AA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86586"/>
    <w:multiLevelType w:val="hybridMultilevel"/>
    <w:tmpl w:val="1AB29B3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80B28"/>
    <w:multiLevelType w:val="hybridMultilevel"/>
    <w:tmpl w:val="5C12A60A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121277"/>
    <w:multiLevelType w:val="hybridMultilevel"/>
    <w:tmpl w:val="5720CA5C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C2638F"/>
    <w:multiLevelType w:val="hybridMultilevel"/>
    <w:tmpl w:val="56BE48A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D917E0"/>
    <w:multiLevelType w:val="hybridMultilevel"/>
    <w:tmpl w:val="420E71F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4474D"/>
    <w:multiLevelType w:val="hybridMultilevel"/>
    <w:tmpl w:val="246A7F32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1798D"/>
    <w:multiLevelType w:val="hybridMultilevel"/>
    <w:tmpl w:val="B162A480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9E2863"/>
    <w:multiLevelType w:val="hybridMultilevel"/>
    <w:tmpl w:val="56B85C0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4555FD"/>
    <w:multiLevelType w:val="hybridMultilevel"/>
    <w:tmpl w:val="8222F8F2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0C0D10"/>
    <w:multiLevelType w:val="hybridMultilevel"/>
    <w:tmpl w:val="AC40B47C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56"/>
    <w:rsid w:val="00001756"/>
    <w:rsid w:val="00003DAF"/>
    <w:rsid w:val="00015C23"/>
    <w:rsid w:val="0003671F"/>
    <w:rsid w:val="00037C0D"/>
    <w:rsid w:val="00046173"/>
    <w:rsid w:val="00046B0B"/>
    <w:rsid w:val="000735C0"/>
    <w:rsid w:val="00073B1E"/>
    <w:rsid w:val="00073F1C"/>
    <w:rsid w:val="00084810"/>
    <w:rsid w:val="000A2672"/>
    <w:rsid w:val="000A283F"/>
    <w:rsid w:val="000B0A67"/>
    <w:rsid w:val="000E2169"/>
    <w:rsid w:val="001051DB"/>
    <w:rsid w:val="001070D5"/>
    <w:rsid w:val="0011211D"/>
    <w:rsid w:val="001176D9"/>
    <w:rsid w:val="001238FE"/>
    <w:rsid w:val="00154636"/>
    <w:rsid w:val="0015512F"/>
    <w:rsid w:val="00160AA2"/>
    <w:rsid w:val="00183455"/>
    <w:rsid w:val="001938A7"/>
    <w:rsid w:val="00197EA4"/>
    <w:rsid w:val="001A1BE6"/>
    <w:rsid w:val="001C3478"/>
    <w:rsid w:val="001D1412"/>
    <w:rsid w:val="001D25A8"/>
    <w:rsid w:val="002061B4"/>
    <w:rsid w:val="00212ADF"/>
    <w:rsid w:val="00250053"/>
    <w:rsid w:val="00255827"/>
    <w:rsid w:val="002E0225"/>
    <w:rsid w:val="003753A2"/>
    <w:rsid w:val="00393699"/>
    <w:rsid w:val="003D185B"/>
    <w:rsid w:val="003D3804"/>
    <w:rsid w:val="003E23F7"/>
    <w:rsid w:val="004162F8"/>
    <w:rsid w:val="00420BB0"/>
    <w:rsid w:val="00436C69"/>
    <w:rsid w:val="00446A15"/>
    <w:rsid w:val="00483446"/>
    <w:rsid w:val="00484CAF"/>
    <w:rsid w:val="0049156D"/>
    <w:rsid w:val="0051307D"/>
    <w:rsid w:val="00537E1D"/>
    <w:rsid w:val="00543A2E"/>
    <w:rsid w:val="00561E25"/>
    <w:rsid w:val="005A14CC"/>
    <w:rsid w:val="005C3D05"/>
    <w:rsid w:val="005E6B78"/>
    <w:rsid w:val="00601B1B"/>
    <w:rsid w:val="00602FD6"/>
    <w:rsid w:val="00606B7E"/>
    <w:rsid w:val="0064162D"/>
    <w:rsid w:val="00655A04"/>
    <w:rsid w:val="006639B7"/>
    <w:rsid w:val="00664598"/>
    <w:rsid w:val="0067100F"/>
    <w:rsid w:val="00687204"/>
    <w:rsid w:val="006B1A4A"/>
    <w:rsid w:val="006C33B3"/>
    <w:rsid w:val="006E48D3"/>
    <w:rsid w:val="007245EB"/>
    <w:rsid w:val="00726D00"/>
    <w:rsid w:val="007515C2"/>
    <w:rsid w:val="007677C1"/>
    <w:rsid w:val="00773C8E"/>
    <w:rsid w:val="00773CAA"/>
    <w:rsid w:val="00790A22"/>
    <w:rsid w:val="007943ED"/>
    <w:rsid w:val="007D1417"/>
    <w:rsid w:val="007E5510"/>
    <w:rsid w:val="007E553A"/>
    <w:rsid w:val="007E7464"/>
    <w:rsid w:val="007E76B0"/>
    <w:rsid w:val="007E7C3A"/>
    <w:rsid w:val="008259EA"/>
    <w:rsid w:val="00833022"/>
    <w:rsid w:val="00842629"/>
    <w:rsid w:val="008759ED"/>
    <w:rsid w:val="00893201"/>
    <w:rsid w:val="008C4070"/>
    <w:rsid w:val="008C5B03"/>
    <w:rsid w:val="008F0A1B"/>
    <w:rsid w:val="00913183"/>
    <w:rsid w:val="00967662"/>
    <w:rsid w:val="0099065F"/>
    <w:rsid w:val="009A333A"/>
    <w:rsid w:val="009B20DC"/>
    <w:rsid w:val="009B2DAC"/>
    <w:rsid w:val="009B6430"/>
    <w:rsid w:val="009E0091"/>
    <w:rsid w:val="009E153A"/>
    <w:rsid w:val="00A70552"/>
    <w:rsid w:val="00A929FD"/>
    <w:rsid w:val="00AD1C39"/>
    <w:rsid w:val="00B1030D"/>
    <w:rsid w:val="00B24369"/>
    <w:rsid w:val="00B476C4"/>
    <w:rsid w:val="00B60C5B"/>
    <w:rsid w:val="00B74BAF"/>
    <w:rsid w:val="00BA2EB5"/>
    <w:rsid w:val="00BB18F2"/>
    <w:rsid w:val="00BB483B"/>
    <w:rsid w:val="00BC6CEB"/>
    <w:rsid w:val="00BF6614"/>
    <w:rsid w:val="00C025FA"/>
    <w:rsid w:val="00C6083B"/>
    <w:rsid w:val="00C85911"/>
    <w:rsid w:val="00CA12A6"/>
    <w:rsid w:val="00CA6142"/>
    <w:rsid w:val="00CB2E04"/>
    <w:rsid w:val="00CD75F3"/>
    <w:rsid w:val="00CE00E4"/>
    <w:rsid w:val="00CE1761"/>
    <w:rsid w:val="00D27887"/>
    <w:rsid w:val="00D35FD0"/>
    <w:rsid w:val="00D4177B"/>
    <w:rsid w:val="00D8348E"/>
    <w:rsid w:val="00DA7458"/>
    <w:rsid w:val="00DA7F2A"/>
    <w:rsid w:val="00DB0CB6"/>
    <w:rsid w:val="00DD6C6D"/>
    <w:rsid w:val="00DE20FD"/>
    <w:rsid w:val="00E22612"/>
    <w:rsid w:val="00E2396E"/>
    <w:rsid w:val="00E41BC3"/>
    <w:rsid w:val="00E45071"/>
    <w:rsid w:val="00E6272D"/>
    <w:rsid w:val="00E72255"/>
    <w:rsid w:val="00E96182"/>
    <w:rsid w:val="00ED4FC5"/>
    <w:rsid w:val="00F03976"/>
    <w:rsid w:val="00F32222"/>
    <w:rsid w:val="00F406C1"/>
    <w:rsid w:val="00F761E3"/>
    <w:rsid w:val="00F927ED"/>
    <w:rsid w:val="00F94DE9"/>
    <w:rsid w:val="00FC5AC4"/>
    <w:rsid w:val="00FE25CB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02A9855"/>
  <w14:defaultImageDpi w14:val="0"/>
  <w15:docId w15:val="{8E251A08-CB27-446A-B2A7-CF12E567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Preformatted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jc w:val="both"/>
    </w:pPr>
    <w:rPr>
      <w:rFonts w:ascii="Century Gothic" w:hAnsi="Century Gothic" w:cs="Century Gothic"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3699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15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rcularTema">
    <w:name w:val="CircularTema"/>
    <w:basedOn w:val="Normal"/>
    <w:uiPriority w:val="99"/>
    <w:pPr>
      <w:jc w:val="center"/>
    </w:pPr>
    <w:rPr>
      <w:u w:val="single"/>
    </w:rPr>
  </w:style>
  <w:style w:type="paragraph" w:customStyle="1" w:styleId="CircularTexto">
    <w:name w:val="CircularTexto"/>
    <w:basedOn w:val="Normal"/>
    <w:uiPriority w:val="99"/>
  </w:style>
  <w:style w:type="paragraph" w:customStyle="1" w:styleId="CircularTitulo">
    <w:name w:val="CircularTitulo"/>
    <w:basedOn w:val="Normal"/>
    <w:uiPriority w:val="99"/>
    <w:pPr>
      <w:jc w:val="center"/>
    </w:pPr>
    <w:rPr>
      <w:b/>
      <w:bCs/>
      <w:spacing w:val="100"/>
      <w:sz w:val="24"/>
      <w:szCs w:val="24"/>
      <w:u w:val="single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rsid w:val="00483446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Pr>
      <w:rFonts w:ascii="Century Gothic" w:hAnsi="Century Gothic" w:cs="Century Gothic"/>
      <w:sz w:val="20"/>
      <w:szCs w:val="20"/>
      <w:lang w:val="es-ES_tradnl" w:eastAsia="es-AR"/>
    </w:rPr>
  </w:style>
  <w:style w:type="character" w:styleId="Refdenotaalfinal">
    <w:name w:val="endnote reference"/>
    <w:uiPriority w:val="99"/>
    <w:semiHidden/>
    <w:rsid w:val="00483446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26D00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Pr>
      <w:rFonts w:ascii="Century Gothic" w:hAnsi="Century Gothic" w:cs="Century Gothic"/>
      <w:sz w:val="20"/>
      <w:szCs w:val="20"/>
      <w:lang w:val="es-ES_tradnl" w:eastAsia="es-AR"/>
    </w:rPr>
  </w:style>
  <w:style w:type="character" w:styleId="Refdenotaalpie">
    <w:name w:val="footnote reference"/>
    <w:uiPriority w:val="99"/>
    <w:semiHidden/>
    <w:rsid w:val="00726D00"/>
    <w:rPr>
      <w:rFonts w:cs="Times New Roman"/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rsid w:val="00DA7F2A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Pr>
      <w:rFonts w:ascii="Courier New" w:hAnsi="Courier New" w:cs="Courier New"/>
      <w:sz w:val="20"/>
      <w:szCs w:val="20"/>
      <w:lang w:val="es-ES_tradnl" w:eastAsia="x-none"/>
    </w:rPr>
  </w:style>
  <w:style w:type="paragraph" w:styleId="Encabezado">
    <w:name w:val="header"/>
    <w:basedOn w:val="Normal"/>
    <w:link w:val="EncabezadoCar"/>
    <w:uiPriority w:val="99"/>
    <w:rsid w:val="003936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93699"/>
    <w:rPr>
      <w:rFonts w:ascii="Century Gothic" w:hAnsi="Century Gothic" w:cs="Century Gothic"/>
      <w:lang w:val="es-ES_tradnl"/>
    </w:rPr>
  </w:style>
  <w:style w:type="paragraph" w:styleId="Piedepgina">
    <w:name w:val="footer"/>
    <w:basedOn w:val="Normal"/>
    <w:link w:val="PiedepginaCar"/>
    <w:uiPriority w:val="99"/>
    <w:rsid w:val="003936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93699"/>
    <w:rPr>
      <w:rFonts w:ascii="Century Gothic" w:hAnsi="Century Gothic" w:cs="Century Gothic"/>
      <w:lang w:val="es-ES_tradnl"/>
    </w:rPr>
  </w:style>
  <w:style w:type="character" w:customStyle="1" w:styleId="Ttulo2Car">
    <w:name w:val="Título 2 Car"/>
    <w:link w:val="Ttulo2"/>
    <w:uiPriority w:val="9"/>
    <w:semiHidden/>
    <w:rsid w:val="00393699"/>
    <w:rPr>
      <w:rFonts w:ascii="Calibri Light" w:hAnsi="Calibri Light"/>
      <w:color w:val="2E74B5"/>
      <w:sz w:val="26"/>
      <w:szCs w:val="26"/>
      <w:lang w:val="es-ES_tradnl"/>
    </w:rPr>
  </w:style>
  <w:style w:type="character" w:customStyle="1" w:styleId="sumarionovedades">
    <w:name w:val="sumarionovedades"/>
    <w:uiPriority w:val="99"/>
    <w:rsid w:val="006E48D3"/>
  </w:style>
  <w:style w:type="paragraph" w:styleId="NormalWeb">
    <w:name w:val="Normal (Web)"/>
    <w:basedOn w:val="Normal"/>
    <w:uiPriority w:val="99"/>
    <w:unhideWhenUsed/>
    <w:rsid w:val="00AD1C39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val="es-AR"/>
    </w:rPr>
  </w:style>
  <w:style w:type="paragraph" w:styleId="Sinespaciado">
    <w:name w:val="No Spacing"/>
    <w:uiPriority w:val="99"/>
    <w:qFormat/>
    <w:rsid w:val="00BF6614"/>
    <w:rPr>
      <w:rFonts w:ascii="Calibri" w:hAnsi="Calibri" w:cs="Calibri"/>
      <w:sz w:val="22"/>
      <w:szCs w:val="22"/>
      <w:lang w:val="es-ES" w:eastAsia="en-US"/>
    </w:rPr>
  </w:style>
  <w:style w:type="character" w:customStyle="1" w:styleId="hipervnculo0">
    <w:name w:val="hipervnculo"/>
    <w:basedOn w:val="Fuentedeprrafopredeter"/>
    <w:uiPriority w:val="99"/>
    <w:rsid w:val="008C5B03"/>
    <w:rPr>
      <w:rFonts w:cs="Times New Roma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515C2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03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03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03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03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03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0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03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33">
          <w:marLeft w:val="165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35">
          <w:marLeft w:val="165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 informativa</vt:lpstr>
    </vt:vector>
  </TitlesOfParts>
  <Company>L.B.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 informativa</dc:title>
  <dc:subject/>
  <dc:creator>Desconocido</dc:creator>
  <cp:keywords/>
  <dc:description/>
  <cp:lastModifiedBy>Betty Schanz</cp:lastModifiedBy>
  <cp:revision>3</cp:revision>
  <dcterms:created xsi:type="dcterms:W3CDTF">2016-08-19T14:07:00Z</dcterms:created>
  <dcterms:modified xsi:type="dcterms:W3CDTF">2016-08-19T14:09:00Z</dcterms:modified>
</cp:coreProperties>
</file>