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7B" w:rsidRDefault="00D4177B" w:rsidP="00393699">
      <w:pPr>
        <w:rPr>
          <w:rFonts w:ascii="Arial" w:hAnsi="Arial" w:cs="Arial"/>
          <w:b/>
          <w:bCs/>
          <w:sz w:val="32"/>
        </w:rPr>
      </w:pPr>
    </w:p>
    <w:p w:rsidR="00393699" w:rsidRDefault="00393699" w:rsidP="0039369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</w:p>
    <w:p w:rsidR="00393699" w:rsidRPr="00834307" w:rsidRDefault="00393699" w:rsidP="00393699">
      <w:pPr>
        <w:rPr>
          <w:rFonts w:ascii="Arial" w:hAnsi="Arial" w:cs="Arial"/>
          <w:b/>
          <w:bCs/>
          <w:sz w:val="16"/>
          <w:szCs w:val="16"/>
        </w:rPr>
      </w:pPr>
    </w:p>
    <w:p w:rsidR="00393699" w:rsidRDefault="00393699" w:rsidP="00393699">
      <w:pPr>
        <w:rPr>
          <w:rFonts w:ascii="Arial" w:hAnsi="Arial" w:cs="Arial"/>
          <w:b/>
          <w:bCs/>
          <w:sz w:val="36"/>
          <w:szCs w:val="36"/>
        </w:rPr>
      </w:pPr>
    </w:p>
    <w:p w:rsidR="00393699" w:rsidRDefault="001176D9" w:rsidP="00393699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C2016-</w:t>
      </w:r>
      <w:r w:rsidR="007515C2">
        <w:rPr>
          <w:rFonts w:ascii="Arial" w:hAnsi="Arial" w:cs="Arial"/>
          <w:b/>
          <w:bCs/>
          <w:sz w:val="36"/>
          <w:szCs w:val="36"/>
        </w:rPr>
        <w:t>10</w:t>
      </w:r>
      <w:r w:rsidR="004B3078">
        <w:rPr>
          <w:rFonts w:ascii="Arial" w:hAnsi="Arial" w:cs="Arial"/>
          <w:b/>
          <w:bCs/>
          <w:sz w:val="36"/>
          <w:szCs w:val="36"/>
        </w:rPr>
        <w:t>8</w:t>
      </w:r>
    </w:p>
    <w:p w:rsidR="00393699" w:rsidRDefault="00AD1C39" w:rsidP="00393699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Nº </w:t>
      </w:r>
      <w:r w:rsidR="00CE1761">
        <w:rPr>
          <w:rFonts w:ascii="Arial" w:hAnsi="Arial" w:cs="Arial"/>
          <w:b/>
          <w:bCs/>
          <w:sz w:val="28"/>
          <w:szCs w:val="28"/>
        </w:rPr>
        <w:t>10</w:t>
      </w:r>
      <w:r w:rsidR="004B3078">
        <w:rPr>
          <w:rFonts w:ascii="Arial" w:hAnsi="Arial" w:cs="Arial"/>
          <w:b/>
          <w:bCs/>
          <w:sz w:val="28"/>
          <w:szCs w:val="28"/>
        </w:rPr>
        <w:t>8</w:t>
      </w:r>
    </w:p>
    <w:p w:rsidR="00393699" w:rsidRDefault="00393699" w:rsidP="00393699">
      <w:pPr>
        <w:rPr>
          <w:rFonts w:ascii="Arial" w:hAnsi="Arial" w:cs="Arial"/>
          <w:color w:val="000000"/>
          <w:sz w:val="24"/>
          <w:szCs w:val="24"/>
        </w:rPr>
      </w:pPr>
    </w:p>
    <w:p w:rsidR="00E96182" w:rsidRPr="004B3078" w:rsidRDefault="00EA5C8F" w:rsidP="0039369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EA5C8F" w:rsidRPr="00EA5C8F" w:rsidRDefault="002061B4" w:rsidP="00EA5C8F">
      <w:pPr>
        <w:rPr>
          <w:rFonts w:ascii="Arial" w:hAnsi="Arial" w:cs="Arial"/>
          <w:u w:val="single"/>
        </w:rPr>
      </w:pPr>
      <w:r w:rsidRPr="00EA5C8F">
        <w:rPr>
          <w:rFonts w:ascii="Arial" w:hAnsi="Arial" w:cs="Arial"/>
          <w:b/>
          <w:bCs/>
          <w:sz w:val="28"/>
          <w:szCs w:val="28"/>
        </w:rPr>
        <w:t xml:space="preserve">Tema: </w:t>
      </w:r>
      <w:r w:rsidR="00EA5C8F" w:rsidRPr="00EA5C8F">
        <w:rPr>
          <w:rFonts w:ascii="Arial" w:hAnsi="Arial" w:cs="Arial"/>
          <w:b/>
          <w:lang w:val="es-AR"/>
        </w:rPr>
        <w:t>Ciudad Autónoma</w:t>
      </w:r>
      <w:r w:rsidR="00EA5C8F" w:rsidRPr="00EA5C8F">
        <w:rPr>
          <w:rFonts w:ascii="Arial" w:hAnsi="Arial" w:cs="Arial"/>
          <w:b/>
        </w:rPr>
        <w:t xml:space="preserve"> de Buenos Aires: </w:t>
      </w:r>
      <w:bookmarkStart w:id="0" w:name="_GoBack"/>
      <w:r w:rsidR="00EA5C8F" w:rsidRPr="00EA5C8F">
        <w:rPr>
          <w:rFonts w:ascii="Arial" w:hAnsi="Arial" w:cs="Arial"/>
          <w:b/>
        </w:rPr>
        <w:t xml:space="preserve">Adhesión al blanqueo y </w:t>
      </w:r>
      <w:proofErr w:type="gramStart"/>
      <w:r w:rsidR="00EA5C8F" w:rsidRPr="00EA5C8F">
        <w:rPr>
          <w:rFonts w:ascii="Arial" w:hAnsi="Arial" w:cs="Arial"/>
          <w:b/>
        </w:rPr>
        <w:t>moratoria</w:t>
      </w:r>
      <w:bookmarkEnd w:id="0"/>
      <w:r w:rsidR="00EA5C8F" w:rsidRPr="00EA5C8F">
        <w:rPr>
          <w:rFonts w:ascii="Arial" w:hAnsi="Arial" w:cs="Arial"/>
          <w:u w:val="single"/>
        </w:rPr>
        <w:t>.-</w:t>
      </w:r>
      <w:proofErr w:type="gramEnd"/>
    </w:p>
    <w:p w:rsidR="00EA5C8F" w:rsidRPr="00EA5C8F" w:rsidRDefault="00EA5C8F" w:rsidP="00EA5C8F">
      <w:pPr>
        <w:rPr>
          <w:rFonts w:ascii="Arial" w:hAnsi="Arial" w:cs="Arial"/>
        </w:rPr>
      </w:pPr>
    </w:p>
    <w:p w:rsidR="00EA5C8F" w:rsidRPr="00EA5C8F" w:rsidRDefault="00EA5C8F" w:rsidP="00EA5C8F">
      <w:pPr>
        <w:rPr>
          <w:rFonts w:ascii="Arial" w:hAnsi="Arial" w:cs="Arial"/>
          <w:iCs/>
        </w:rPr>
      </w:pPr>
      <w:r w:rsidRPr="00EA5C8F">
        <w:rPr>
          <w:rFonts w:ascii="Arial" w:hAnsi="Arial" w:cs="Arial"/>
        </w:rPr>
        <w:t xml:space="preserve">Se ha dictado la ley 5.616 por la cual la </w:t>
      </w:r>
      <w:r w:rsidRPr="00EA5C8F">
        <w:rPr>
          <w:rFonts w:ascii="Arial" w:hAnsi="Arial" w:cs="Arial"/>
          <w:iCs/>
        </w:rPr>
        <w:t xml:space="preserve">Ciudad Autónoma de Buenos Aires adhiere al régimen voluntario y excepcional de declaración de tenencia de moneda nacional, extranjera y demás bienes en el país y en el exterior de la ley </w:t>
      </w:r>
      <w:proofErr w:type="gramStart"/>
      <w:r w:rsidRPr="00EA5C8F">
        <w:rPr>
          <w:rFonts w:ascii="Arial" w:hAnsi="Arial" w:cs="Arial"/>
          <w:iCs/>
        </w:rPr>
        <w:t>nacional  27</w:t>
      </w:r>
      <w:proofErr w:type="gramEnd"/>
      <w:r w:rsidRPr="00EA5C8F">
        <w:rPr>
          <w:rFonts w:ascii="Arial" w:hAnsi="Arial" w:cs="Arial"/>
          <w:iCs/>
        </w:rPr>
        <w:t>.260.-</w:t>
      </w:r>
    </w:p>
    <w:p w:rsidR="00EA5C8F" w:rsidRPr="00EA5C8F" w:rsidRDefault="00EA5C8F" w:rsidP="00EA5C8F">
      <w:pPr>
        <w:rPr>
          <w:rFonts w:ascii="Arial" w:hAnsi="Arial" w:cs="Arial"/>
          <w:iCs/>
        </w:rPr>
      </w:pPr>
    </w:p>
    <w:p w:rsidR="00EA5C8F" w:rsidRPr="00EA5C8F" w:rsidRDefault="00EA5C8F" w:rsidP="00EA5C8F">
      <w:pPr>
        <w:rPr>
          <w:rFonts w:ascii="Arial" w:hAnsi="Arial" w:cs="Arial"/>
          <w:iCs/>
        </w:rPr>
      </w:pPr>
      <w:r w:rsidRPr="00EA5C8F">
        <w:rPr>
          <w:rFonts w:ascii="Arial" w:hAnsi="Arial" w:cs="Arial"/>
          <w:iCs/>
        </w:rPr>
        <w:t xml:space="preserve">La misma contempla la </w:t>
      </w:r>
      <w:r w:rsidRPr="00EA5C8F">
        <w:rPr>
          <w:rFonts w:ascii="Arial" w:hAnsi="Arial" w:cs="Arial"/>
          <w:b/>
          <w:iCs/>
        </w:rPr>
        <w:t>liberación del pago de todo tributo omitido en el ámbito de la Ciudad Autónoma de Buenos Aires con respecto a  los bienes exteriorizados bajo el régimen de la ley 27.260</w:t>
      </w:r>
      <w:r w:rsidRPr="00EA5C8F">
        <w:rPr>
          <w:rFonts w:ascii="Arial" w:hAnsi="Arial" w:cs="Arial"/>
          <w:iCs/>
        </w:rPr>
        <w:t>, sin perjuicio de las facultades de verificación y/o fiscalización establecidas en el Código Fiscal a favor de la Administración Gubernamental de Ingresos Públicos, y a su vez autoriza a este organismo para que reglamente una amplia moratoria dentro de parámetros muy cercanos a los de la ley nacional, incluyendo la reformulación de planes vigentes.-</w:t>
      </w:r>
    </w:p>
    <w:p w:rsidR="00EA5C8F" w:rsidRPr="00EA5C8F" w:rsidRDefault="00EA5C8F" w:rsidP="00EA5C8F">
      <w:pPr>
        <w:rPr>
          <w:rFonts w:ascii="Arial" w:hAnsi="Arial" w:cs="Arial"/>
          <w:iCs/>
        </w:rPr>
      </w:pPr>
    </w:p>
    <w:p w:rsidR="00EA5C8F" w:rsidRPr="00EA5C8F" w:rsidRDefault="00EA5C8F" w:rsidP="00EA5C8F">
      <w:pPr>
        <w:rPr>
          <w:rFonts w:ascii="Arial" w:hAnsi="Arial" w:cs="Arial"/>
          <w:iCs/>
        </w:rPr>
      </w:pPr>
      <w:r w:rsidRPr="00EA5C8F">
        <w:rPr>
          <w:rFonts w:ascii="Arial" w:hAnsi="Arial" w:cs="Arial"/>
          <w:iCs/>
        </w:rPr>
        <w:t>Algunos de los aspectos relevantes son los siguientes:</w:t>
      </w:r>
    </w:p>
    <w:p w:rsidR="00EA5C8F" w:rsidRPr="00EA5C8F" w:rsidRDefault="00EA5C8F" w:rsidP="00EA5C8F">
      <w:pPr>
        <w:rPr>
          <w:rFonts w:ascii="Arial" w:hAnsi="Arial" w:cs="Arial"/>
          <w:iCs/>
        </w:rPr>
      </w:pPr>
    </w:p>
    <w:p w:rsidR="00EA5C8F" w:rsidRPr="00EA5C8F" w:rsidRDefault="00EA5C8F" w:rsidP="00EA5C8F">
      <w:pPr>
        <w:numPr>
          <w:ilvl w:val="0"/>
          <w:numId w:val="13"/>
        </w:numPr>
        <w:rPr>
          <w:rFonts w:ascii="Arial" w:hAnsi="Arial" w:cs="Arial"/>
        </w:rPr>
      </w:pPr>
      <w:r w:rsidRPr="00EA5C8F">
        <w:rPr>
          <w:rFonts w:ascii="Arial" w:hAnsi="Arial" w:cs="Arial"/>
          <w:iCs/>
        </w:rPr>
        <w:t>Faculta a la Administración Gubernamental de Ingresos Públicos a establecer el plazo para el acogimiento, el que no podrá exceder del 31 de diciembre de 2016.-</w:t>
      </w:r>
    </w:p>
    <w:p w:rsidR="00EA5C8F" w:rsidRPr="00EA5C8F" w:rsidRDefault="00EA5C8F" w:rsidP="00EA5C8F">
      <w:pPr>
        <w:numPr>
          <w:ilvl w:val="0"/>
          <w:numId w:val="13"/>
        </w:numPr>
        <w:rPr>
          <w:rFonts w:ascii="Arial" w:hAnsi="Arial" w:cs="Arial"/>
        </w:rPr>
      </w:pPr>
      <w:r w:rsidRPr="00EA5C8F">
        <w:rPr>
          <w:rFonts w:ascii="Arial" w:hAnsi="Arial" w:cs="Arial"/>
        </w:rPr>
        <w:t xml:space="preserve">La cancelación total mediante pago al contado, hasta la fecha en que se efectúe el acogimiento al presente régimen, implicará la aplicación de </w:t>
      </w:r>
      <w:r w:rsidRPr="00EA5C8F">
        <w:rPr>
          <w:rFonts w:ascii="Arial" w:hAnsi="Arial" w:cs="Arial"/>
          <w:i/>
        </w:rPr>
        <w:t>“…una reducción del quince por ciento (15%) sobre el importe total de intereses por el cual se efectuó el acogimiento. La aplicación de este beneficio no podrá provocar la reducción del capital adeudado…”</w:t>
      </w:r>
    </w:p>
    <w:p w:rsidR="00EA5C8F" w:rsidRPr="00EA5C8F" w:rsidRDefault="00EA5C8F" w:rsidP="00EA5C8F">
      <w:pPr>
        <w:numPr>
          <w:ilvl w:val="0"/>
          <w:numId w:val="13"/>
        </w:numPr>
        <w:rPr>
          <w:rFonts w:ascii="Arial" w:hAnsi="Arial" w:cs="Arial"/>
        </w:rPr>
      </w:pPr>
      <w:r w:rsidRPr="00EA5C8F">
        <w:rPr>
          <w:rFonts w:ascii="Arial" w:hAnsi="Arial" w:cs="Arial"/>
          <w:iCs/>
        </w:rPr>
        <w:t xml:space="preserve">Todos los planes son de hasta 90 cuotas, con un anticipo del 5%, que se </w:t>
      </w:r>
      <w:proofErr w:type="gramStart"/>
      <w:r w:rsidRPr="00EA5C8F">
        <w:rPr>
          <w:rFonts w:ascii="Arial" w:hAnsi="Arial" w:cs="Arial"/>
          <w:iCs/>
        </w:rPr>
        <w:t>eleva  al</w:t>
      </w:r>
      <w:proofErr w:type="gramEnd"/>
      <w:r w:rsidRPr="00EA5C8F">
        <w:rPr>
          <w:rFonts w:ascii="Arial" w:hAnsi="Arial" w:cs="Arial"/>
          <w:iCs/>
        </w:rPr>
        <w:t xml:space="preserve"> 15% cuando se trate sujetos incluidos en el sistema de control especial según lo establecido en la resolución de la Dirección General de Rentas 4191/2007.- En este último caso el interés de financiación será del 1,8% en lugar 1,5% mensual.-</w:t>
      </w:r>
    </w:p>
    <w:p w:rsidR="00EA5C8F" w:rsidRPr="00EA5C8F" w:rsidRDefault="00EA5C8F" w:rsidP="00EA5C8F">
      <w:pPr>
        <w:numPr>
          <w:ilvl w:val="0"/>
          <w:numId w:val="13"/>
        </w:numPr>
        <w:rPr>
          <w:rFonts w:ascii="Arial" w:hAnsi="Arial" w:cs="Arial"/>
        </w:rPr>
      </w:pPr>
      <w:r w:rsidRPr="00EA5C8F">
        <w:rPr>
          <w:rFonts w:ascii="Arial" w:hAnsi="Arial" w:cs="Arial"/>
          <w:iCs/>
        </w:rPr>
        <w:t>Para los agentes de recaudación se establece un pago a cuenta equivalente al quince por ciento (15%) y por el saldo de deuda resultante, hasta treinta y seis (36) cuotas mensuales, con un interés de financiación del uno coma ocho por ciento (1,8%) mensual.- El artículo 12 contiene la liberación de recargos, multas y de cualquier otra sanción, tanto por el importe retenido o percibido que no se hubiera depositado, como por la omisión de haber retenido o percibido.- En este último caso se establece que de tratarse de retenciones no practicadas o percepciones no efectuadas, los agentes de recaudación quedarán eximidos de responsabilidad si el sujeto pasible de dichas obligaciones regulariza su situación en los términos del presente régimen o lo hubiera hecho con anterioridad (situación que requiere en la práctica diversas dificultades en función de la necesidad de contar con información de terceros).-</w:t>
      </w:r>
    </w:p>
    <w:p w:rsidR="00EA5C8F" w:rsidRPr="006A4442" w:rsidRDefault="00EA5C8F" w:rsidP="00EA5C8F">
      <w:pPr>
        <w:ind w:left="720"/>
      </w:pPr>
      <w:r>
        <w:rPr>
          <w:iCs/>
        </w:rPr>
        <w:t xml:space="preserve"> </w:t>
      </w:r>
    </w:p>
    <w:p w:rsidR="004B3078" w:rsidRPr="004B3078" w:rsidRDefault="004B3078" w:rsidP="00EA5C8F">
      <w:pPr>
        <w:rPr>
          <w:rFonts w:ascii="Arial" w:hAnsi="Arial" w:cs="Arial"/>
        </w:rPr>
      </w:pPr>
    </w:p>
    <w:p w:rsidR="00E96182" w:rsidRPr="004B3078" w:rsidRDefault="00E96182" w:rsidP="004B3078">
      <w:pPr>
        <w:rPr>
          <w:rFonts w:ascii="Arial" w:hAnsi="Arial" w:cs="Arial"/>
          <w:color w:val="000000"/>
        </w:rPr>
      </w:pPr>
    </w:p>
    <w:sectPr w:rsidR="00E96182" w:rsidRPr="004B3078" w:rsidSect="001938A7">
      <w:headerReference w:type="default" r:id="rId7"/>
      <w:endnotePr>
        <w:numFmt w:val="decimal"/>
      </w:endnotePr>
      <w:pgSz w:w="11907" w:h="16840" w:code="9"/>
      <w:pgMar w:top="2552" w:right="1134" w:bottom="1135" w:left="2268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A2" w:rsidRDefault="003753A2">
      <w:r>
        <w:separator/>
      </w:r>
    </w:p>
  </w:endnote>
  <w:endnote w:type="continuationSeparator" w:id="0">
    <w:p w:rsidR="003753A2" w:rsidRDefault="003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A2" w:rsidRDefault="003753A2">
      <w:r>
        <w:separator/>
      </w:r>
    </w:p>
  </w:footnote>
  <w:footnote w:type="continuationSeparator" w:id="0">
    <w:p w:rsidR="003753A2" w:rsidRDefault="0037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99" w:rsidRDefault="001176D9">
    <w:pPr>
      <w:pStyle w:val="Encabezado"/>
    </w:pPr>
    <w:r w:rsidRPr="00992F15">
      <w:rPr>
        <w:rFonts w:ascii="Arial" w:hAnsi="Arial" w:cs="Arial"/>
        <w:b/>
        <w:noProof/>
        <w:sz w:val="32"/>
        <w:lang w:val="es-AR"/>
      </w:rPr>
      <w:drawing>
        <wp:inline distT="0" distB="0" distL="0" distR="0">
          <wp:extent cx="2659380" cy="10820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33C"/>
    <w:multiLevelType w:val="hybridMultilevel"/>
    <w:tmpl w:val="A230AA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6D4"/>
    <w:multiLevelType w:val="hybridMultilevel"/>
    <w:tmpl w:val="3852E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6586"/>
    <w:multiLevelType w:val="hybridMultilevel"/>
    <w:tmpl w:val="1AB29B3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0B28"/>
    <w:multiLevelType w:val="hybridMultilevel"/>
    <w:tmpl w:val="5C12A60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121277"/>
    <w:multiLevelType w:val="hybridMultilevel"/>
    <w:tmpl w:val="5720CA5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2638F"/>
    <w:multiLevelType w:val="hybridMultilevel"/>
    <w:tmpl w:val="56BE48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917E0"/>
    <w:multiLevelType w:val="hybridMultilevel"/>
    <w:tmpl w:val="420E71F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474D"/>
    <w:multiLevelType w:val="hybridMultilevel"/>
    <w:tmpl w:val="246A7F3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1798D"/>
    <w:multiLevelType w:val="hybridMultilevel"/>
    <w:tmpl w:val="B162A48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E2863"/>
    <w:multiLevelType w:val="hybridMultilevel"/>
    <w:tmpl w:val="56B85C0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A407A6"/>
    <w:multiLevelType w:val="hybridMultilevel"/>
    <w:tmpl w:val="4E380DB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4555FD"/>
    <w:multiLevelType w:val="hybridMultilevel"/>
    <w:tmpl w:val="8222F8F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0C0D10"/>
    <w:multiLevelType w:val="hybridMultilevel"/>
    <w:tmpl w:val="AC40B47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6"/>
    <w:rsid w:val="00001756"/>
    <w:rsid w:val="00003DAF"/>
    <w:rsid w:val="00015C23"/>
    <w:rsid w:val="0003671F"/>
    <w:rsid w:val="00037C0D"/>
    <w:rsid w:val="00046173"/>
    <w:rsid w:val="00046B0B"/>
    <w:rsid w:val="000735C0"/>
    <w:rsid w:val="00073B1E"/>
    <w:rsid w:val="00073F1C"/>
    <w:rsid w:val="00084810"/>
    <w:rsid w:val="000A2672"/>
    <w:rsid w:val="000A283F"/>
    <w:rsid w:val="000B0A67"/>
    <w:rsid w:val="000E2169"/>
    <w:rsid w:val="001051DB"/>
    <w:rsid w:val="001070D5"/>
    <w:rsid w:val="0011211D"/>
    <w:rsid w:val="001176D9"/>
    <w:rsid w:val="001238FE"/>
    <w:rsid w:val="00154636"/>
    <w:rsid w:val="0015512F"/>
    <w:rsid w:val="00160AA2"/>
    <w:rsid w:val="00181036"/>
    <w:rsid w:val="00183455"/>
    <w:rsid w:val="001938A7"/>
    <w:rsid w:val="00197EA4"/>
    <w:rsid w:val="001A1BE6"/>
    <w:rsid w:val="001C3478"/>
    <w:rsid w:val="001D1412"/>
    <w:rsid w:val="001D25A8"/>
    <w:rsid w:val="002061B4"/>
    <w:rsid w:val="00212ADF"/>
    <w:rsid w:val="00250053"/>
    <w:rsid w:val="00255827"/>
    <w:rsid w:val="002E0225"/>
    <w:rsid w:val="003753A2"/>
    <w:rsid w:val="003808BA"/>
    <w:rsid w:val="00393699"/>
    <w:rsid w:val="003D185B"/>
    <w:rsid w:val="003D3804"/>
    <w:rsid w:val="003E23F7"/>
    <w:rsid w:val="004162F8"/>
    <w:rsid w:val="00420BB0"/>
    <w:rsid w:val="00436C69"/>
    <w:rsid w:val="00446A15"/>
    <w:rsid w:val="00483446"/>
    <w:rsid w:val="00484CAF"/>
    <w:rsid w:val="0049156D"/>
    <w:rsid w:val="004B3078"/>
    <w:rsid w:val="0051307D"/>
    <w:rsid w:val="00537E1D"/>
    <w:rsid w:val="00543A2E"/>
    <w:rsid w:val="00561E25"/>
    <w:rsid w:val="005A14CC"/>
    <w:rsid w:val="005C3D05"/>
    <w:rsid w:val="005E6B78"/>
    <w:rsid w:val="00601B1B"/>
    <w:rsid w:val="00602FD6"/>
    <w:rsid w:val="00606B7E"/>
    <w:rsid w:val="0064162D"/>
    <w:rsid w:val="00655A04"/>
    <w:rsid w:val="006639B7"/>
    <w:rsid w:val="00664598"/>
    <w:rsid w:val="0067100F"/>
    <w:rsid w:val="00687204"/>
    <w:rsid w:val="006B1A4A"/>
    <w:rsid w:val="006C33B3"/>
    <w:rsid w:val="006E48D3"/>
    <w:rsid w:val="007245EB"/>
    <w:rsid w:val="00726D00"/>
    <w:rsid w:val="007515C2"/>
    <w:rsid w:val="007677C1"/>
    <w:rsid w:val="00773C8E"/>
    <w:rsid w:val="00773CAA"/>
    <w:rsid w:val="00790A22"/>
    <w:rsid w:val="007943ED"/>
    <w:rsid w:val="007D1417"/>
    <w:rsid w:val="007E5510"/>
    <w:rsid w:val="007E553A"/>
    <w:rsid w:val="007E7464"/>
    <w:rsid w:val="007E76B0"/>
    <w:rsid w:val="007E7C3A"/>
    <w:rsid w:val="008259EA"/>
    <w:rsid w:val="00833022"/>
    <w:rsid w:val="00842629"/>
    <w:rsid w:val="008759ED"/>
    <w:rsid w:val="00893201"/>
    <w:rsid w:val="008C4070"/>
    <w:rsid w:val="008C5B03"/>
    <w:rsid w:val="008F0A1B"/>
    <w:rsid w:val="00913183"/>
    <w:rsid w:val="00967662"/>
    <w:rsid w:val="0099065F"/>
    <w:rsid w:val="009A333A"/>
    <w:rsid w:val="009B20DC"/>
    <w:rsid w:val="009B2DAC"/>
    <w:rsid w:val="009B6430"/>
    <w:rsid w:val="009E0091"/>
    <w:rsid w:val="009E153A"/>
    <w:rsid w:val="00A70552"/>
    <w:rsid w:val="00A929FD"/>
    <w:rsid w:val="00AD1C39"/>
    <w:rsid w:val="00B1030D"/>
    <w:rsid w:val="00B24369"/>
    <w:rsid w:val="00B476C4"/>
    <w:rsid w:val="00B60C5B"/>
    <w:rsid w:val="00B74BAF"/>
    <w:rsid w:val="00BA2EB5"/>
    <w:rsid w:val="00BB18F2"/>
    <w:rsid w:val="00BB483B"/>
    <w:rsid w:val="00BC6CEB"/>
    <w:rsid w:val="00BF6614"/>
    <w:rsid w:val="00C025FA"/>
    <w:rsid w:val="00C6083B"/>
    <w:rsid w:val="00C85911"/>
    <w:rsid w:val="00CA12A6"/>
    <w:rsid w:val="00CA6142"/>
    <w:rsid w:val="00CB2E04"/>
    <w:rsid w:val="00CD75F3"/>
    <w:rsid w:val="00CE00E4"/>
    <w:rsid w:val="00CE1761"/>
    <w:rsid w:val="00D27887"/>
    <w:rsid w:val="00D35FD0"/>
    <w:rsid w:val="00D4177B"/>
    <w:rsid w:val="00D8348E"/>
    <w:rsid w:val="00DA7458"/>
    <w:rsid w:val="00DA7F2A"/>
    <w:rsid w:val="00DB0CB6"/>
    <w:rsid w:val="00DC0808"/>
    <w:rsid w:val="00DD6C6D"/>
    <w:rsid w:val="00DE20FD"/>
    <w:rsid w:val="00E22612"/>
    <w:rsid w:val="00E2396E"/>
    <w:rsid w:val="00E41BC3"/>
    <w:rsid w:val="00E45071"/>
    <w:rsid w:val="00E6272D"/>
    <w:rsid w:val="00E72255"/>
    <w:rsid w:val="00E96182"/>
    <w:rsid w:val="00EA5C8F"/>
    <w:rsid w:val="00ED4FC5"/>
    <w:rsid w:val="00F03976"/>
    <w:rsid w:val="00F32222"/>
    <w:rsid w:val="00F406C1"/>
    <w:rsid w:val="00F761E3"/>
    <w:rsid w:val="00F927ED"/>
    <w:rsid w:val="00F94DE9"/>
    <w:rsid w:val="00FB15DC"/>
    <w:rsid w:val="00FC5AC4"/>
    <w:rsid w:val="00FE25C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2DF60B"/>
  <w14:defaultImageDpi w14:val="0"/>
  <w15:docId w15:val="{8E251A08-CB27-446A-B2A7-CF12E56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Century Gothic" w:hAnsi="Century Gothic" w:cs="Century Gothic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3699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5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48344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Century Gothic" w:hAnsi="Century Gothic" w:cs="Century Gothic"/>
      <w:sz w:val="20"/>
      <w:szCs w:val="20"/>
      <w:lang w:val="es-ES_tradnl" w:eastAsia="es-AR"/>
    </w:rPr>
  </w:style>
  <w:style w:type="character" w:styleId="Refdenotaalfinal">
    <w:name w:val="endnote reference"/>
    <w:uiPriority w:val="99"/>
    <w:semiHidden/>
    <w:rsid w:val="00483446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26D0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ascii="Century Gothic" w:hAnsi="Century Gothic" w:cs="Century Gothic"/>
      <w:sz w:val="20"/>
      <w:szCs w:val="20"/>
      <w:lang w:val="es-ES_tradnl" w:eastAsia="es-AR"/>
    </w:rPr>
  </w:style>
  <w:style w:type="character" w:styleId="Refdenotaalpie">
    <w:name w:val="footnote reference"/>
    <w:uiPriority w:val="99"/>
    <w:semiHidden/>
    <w:rsid w:val="00726D00"/>
    <w:rPr>
      <w:rFonts w:cs="Times New Roman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rsid w:val="00DA7F2A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3936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3699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rsid w:val="003936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3699"/>
    <w:rPr>
      <w:rFonts w:ascii="Century Gothic" w:hAnsi="Century Gothic" w:cs="Century Gothic"/>
      <w:lang w:val="es-ES_tradnl"/>
    </w:rPr>
  </w:style>
  <w:style w:type="character" w:customStyle="1" w:styleId="Ttulo2Car">
    <w:name w:val="Título 2 Car"/>
    <w:link w:val="Ttulo2"/>
    <w:uiPriority w:val="9"/>
    <w:semiHidden/>
    <w:rsid w:val="00393699"/>
    <w:rPr>
      <w:rFonts w:ascii="Calibri Light" w:hAnsi="Calibri Light"/>
      <w:color w:val="2E74B5"/>
      <w:sz w:val="26"/>
      <w:szCs w:val="26"/>
      <w:lang w:val="es-ES_tradnl"/>
    </w:rPr>
  </w:style>
  <w:style w:type="character" w:customStyle="1" w:styleId="sumarionovedades">
    <w:name w:val="sumarionovedades"/>
    <w:uiPriority w:val="99"/>
    <w:rsid w:val="006E48D3"/>
  </w:style>
  <w:style w:type="paragraph" w:styleId="NormalWeb">
    <w:name w:val="Normal (Web)"/>
    <w:basedOn w:val="Normal"/>
    <w:uiPriority w:val="99"/>
    <w:unhideWhenUsed/>
    <w:rsid w:val="00AD1C39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AR"/>
    </w:rPr>
  </w:style>
  <w:style w:type="paragraph" w:styleId="Sinespaciado">
    <w:name w:val="No Spacing"/>
    <w:uiPriority w:val="99"/>
    <w:qFormat/>
    <w:rsid w:val="00BF6614"/>
    <w:rPr>
      <w:rFonts w:ascii="Calibri" w:hAnsi="Calibri" w:cs="Calibri"/>
      <w:sz w:val="22"/>
      <w:szCs w:val="22"/>
      <w:lang w:val="es-ES" w:eastAsia="en-US"/>
    </w:rPr>
  </w:style>
  <w:style w:type="character" w:customStyle="1" w:styleId="hipervnculo0">
    <w:name w:val="hipervnculo"/>
    <w:basedOn w:val="Fuentedeprrafopredeter"/>
    <w:uiPriority w:val="99"/>
    <w:rsid w:val="008C5B03"/>
    <w:rPr>
      <w:rFonts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15C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_tradnl"/>
    </w:rPr>
  </w:style>
  <w:style w:type="paragraph" w:customStyle="1" w:styleId="tablacentrado8">
    <w:name w:val="tablacentrado8"/>
    <w:basedOn w:val="Normal"/>
    <w:uiPriority w:val="99"/>
    <w:rsid w:val="004B3078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uiPriority w:val="99"/>
    <w:rsid w:val="004B3078"/>
    <w:rPr>
      <w:rFonts w:cs="Times New Roman"/>
      <w:b/>
      <w:bCs/>
    </w:rPr>
  </w:style>
  <w:style w:type="table" w:styleId="Tablaconcuadrcula1">
    <w:name w:val="Table Grid 1"/>
    <w:basedOn w:val="Tablanormal"/>
    <w:uiPriority w:val="99"/>
    <w:rsid w:val="004B3078"/>
    <w:rPr>
      <w:rFonts w:ascii="Century Gothic" w:hAnsi="Century Gothic" w:cs="Century Gothic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33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35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2016-09-13T13:18:00Z</dcterms:created>
  <dcterms:modified xsi:type="dcterms:W3CDTF">2016-09-13T13:18:00Z</dcterms:modified>
</cp:coreProperties>
</file>