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7B" w:rsidRDefault="00D4177B" w:rsidP="00393699">
      <w:pPr>
        <w:rPr>
          <w:rFonts w:ascii="Arial" w:hAnsi="Arial" w:cs="Arial"/>
          <w:b/>
          <w:bCs/>
          <w:sz w:val="32"/>
        </w:rPr>
      </w:pPr>
      <w:bookmarkStart w:id="0" w:name="_GoBack"/>
      <w:bookmarkEnd w:id="0"/>
    </w:p>
    <w:p w:rsidR="00393699" w:rsidRDefault="00393699" w:rsidP="00393699">
      <w:pPr>
        <w:rPr>
          <w:rFonts w:ascii="Arial" w:hAnsi="Arial" w:cs="Arial"/>
          <w:b/>
          <w:bCs/>
          <w:sz w:val="32"/>
        </w:rPr>
      </w:pPr>
      <w:r>
        <w:rPr>
          <w:rFonts w:ascii="Arial" w:hAnsi="Arial" w:cs="Arial"/>
          <w:b/>
          <w:bCs/>
          <w:sz w:val="32"/>
        </w:rPr>
        <w:t>DEPARTAMENTO DE ESTUDIOS TRIBUTARIOS</w:t>
      </w:r>
    </w:p>
    <w:p w:rsidR="00393699" w:rsidRPr="00834307" w:rsidRDefault="00393699" w:rsidP="00393699">
      <w:pPr>
        <w:rPr>
          <w:rFonts w:ascii="Arial" w:hAnsi="Arial" w:cs="Arial"/>
          <w:b/>
          <w:bCs/>
          <w:sz w:val="16"/>
          <w:szCs w:val="16"/>
        </w:rPr>
      </w:pPr>
    </w:p>
    <w:p w:rsidR="00393699" w:rsidRDefault="00393699" w:rsidP="00393699">
      <w:pPr>
        <w:rPr>
          <w:rFonts w:ascii="Arial" w:hAnsi="Arial" w:cs="Arial"/>
          <w:b/>
          <w:bCs/>
          <w:sz w:val="36"/>
          <w:szCs w:val="36"/>
        </w:rPr>
      </w:pPr>
    </w:p>
    <w:p w:rsidR="00393699" w:rsidRDefault="001176D9" w:rsidP="00393699">
      <w:pPr>
        <w:jc w:val="right"/>
        <w:rPr>
          <w:rFonts w:ascii="Arial" w:hAnsi="Arial" w:cs="Arial"/>
          <w:b/>
          <w:bCs/>
          <w:sz w:val="36"/>
          <w:szCs w:val="36"/>
        </w:rPr>
      </w:pPr>
      <w:r>
        <w:rPr>
          <w:rFonts w:ascii="Arial" w:hAnsi="Arial" w:cs="Arial"/>
          <w:b/>
          <w:bCs/>
          <w:sz w:val="36"/>
          <w:szCs w:val="36"/>
        </w:rPr>
        <w:t>C2016-</w:t>
      </w:r>
      <w:r w:rsidR="007515C2">
        <w:rPr>
          <w:rFonts w:ascii="Arial" w:hAnsi="Arial" w:cs="Arial"/>
          <w:b/>
          <w:bCs/>
          <w:sz w:val="36"/>
          <w:szCs w:val="36"/>
        </w:rPr>
        <w:t>10</w:t>
      </w:r>
      <w:r w:rsidR="00FB15DC">
        <w:rPr>
          <w:rFonts w:ascii="Arial" w:hAnsi="Arial" w:cs="Arial"/>
          <w:b/>
          <w:bCs/>
          <w:sz w:val="36"/>
          <w:szCs w:val="36"/>
        </w:rPr>
        <w:t>7</w:t>
      </w:r>
    </w:p>
    <w:p w:rsidR="00393699" w:rsidRDefault="00AD1C39" w:rsidP="00393699">
      <w:pPr>
        <w:rPr>
          <w:rFonts w:ascii="Arial" w:hAnsi="Arial" w:cs="Arial"/>
          <w:b/>
          <w:bCs/>
          <w:sz w:val="28"/>
          <w:szCs w:val="28"/>
          <w:lang w:val="es-AR"/>
        </w:rPr>
      </w:pPr>
      <w:r>
        <w:rPr>
          <w:rFonts w:ascii="Arial" w:hAnsi="Arial" w:cs="Arial"/>
          <w:b/>
          <w:bCs/>
          <w:sz w:val="28"/>
          <w:szCs w:val="28"/>
        </w:rPr>
        <w:t xml:space="preserve">CIRCULAR INFORMATIVA Nº </w:t>
      </w:r>
      <w:r w:rsidR="00CE1761">
        <w:rPr>
          <w:rFonts w:ascii="Arial" w:hAnsi="Arial" w:cs="Arial"/>
          <w:b/>
          <w:bCs/>
          <w:sz w:val="28"/>
          <w:szCs w:val="28"/>
        </w:rPr>
        <w:t>10</w:t>
      </w:r>
      <w:r w:rsidR="00FB15DC">
        <w:rPr>
          <w:rFonts w:ascii="Arial" w:hAnsi="Arial" w:cs="Arial"/>
          <w:b/>
          <w:bCs/>
          <w:sz w:val="28"/>
          <w:szCs w:val="28"/>
        </w:rPr>
        <w:t>7</w:t>
      </w:r>
    </w:p>
    <w:p w:rsidR="00393699" w:rsidRDefault="00393699" w:rsidP="00393699">
      <w:pPr>
        <w:rPr>
          <w:rFonts w:ascii="Arial" w:hAnsi="Arial" w:cs="Arial"/>
          <w:color w:val="000000"/>
          <w:sz w:val="24"/>
          <w:szCs w:val="24"/>
        </w:rPr>
      </w:pPr>
    </w:p>
    <w:p w:rsidR="00E96182" w:rsidRPr="00E96182" w:rsidRDefault="00E96182" w:rsidP="00393699">
      <w:pPr>
        <w:rPr>
          <w:rFonts w:ascii="Arial" w:hAnsi="Arial" w:cs="Arial"/>
          <w:color w:val="000000"/>
          <w:sz w:val="24"/>
          <w:szCs w:val="24"/>
        </w:rPr>
      </w:pPr>
    </w:p>
    <w:p w:rsidR="00FB15DC" w:rsidRPr="00FB15DC" w:rsidRDefault="002061B4" w:rsidP="00FB15DC">
      <w:pPr>
        <w:rPr>
          <w:rFonts w:ascii="Arial" w:hAnsi="Arial" w:cs="Arial"/>
          <w:u w:val="single"/>
        </w:rPr>
      </w:pPr>
      <w:r w:rsidRPr="00FB15DC">
        <w:rPr>
          <w:rFonts w:ascii="Arial" w:hAnsi="Arial" w:cs="Arial"/>
          <w:b/>
          <w:bCs/>
          <w:sz w:val="28"/>
          <w:szCs w:val="28"/>
        </w:rPr>
        <w:t xml:space="preserve">Tema: </w:t>
      </w:r>
      <w:r w:rsidR="00FB15DC" w:rsidRPr="00FB15DC">
        <w:rPr>
          <w:rFonts w:ascii="Arial" w:hAnsi="Arial" w:cs="Arial"/>
          <w:b/>
        </w:rPr>
        <w:t xml:space="preserve">CABA: Nuevas importantes modificaciones a los regímenes de retención y percepción; se unifica vigencia de todas las modificaciones para el 1° de </w:t>
      </w:r>
      <w:proofErr w:type="gramStart"/>
      <w:r w:rsidR="00FB15DC" w:rsidRPr="00FB15DC">
        <w:rPr>
          <w:rFonts w:ascii="Arial" w:hAnsi="Arial" w:cs="Arial"/>
          <w:b/>
        </w:rPr>
        <w:t>noviembre</w:t>
      </w:r>
      <w:r w:rsidR="00FB15DC" w:rsidRPr="00FB15DC">
        <w:rPr>
          <w:rFonts w:ascii="Arial" w:hAnsi="Arial" w:cs="Arial"/>
          <w:u w:val="single"/>
        </w:rPr>
        <w:t>.-</w:t>
      </w:r>
      <w:proofErr w:type="gramEnd"/>
    </w:p>
    <w:p w:rsidR="00FB15DC" w:rsidRPr="00FB15DC" w:rsidRDefault="00FB15DC" w:rsidP="00FB15DC">
      <w:pPr>
        <w:rPr>
          <w:rFonts w:ascii="Arial" w:hAnsi="Arial" w:cs="Arial"/>
          <w:u w:val="single"/>
        </w:rPr>
      </w:pPr>
    </w:p>
    <w:p w:rsidR="00FB15DC" w:rsidRPr="00FB15DC" w:rsidRDefault="00FB15DC" w:rsidP="00FB15DC">
      <w:pPr>
        <w:rPr>
          <w:rFonts w:ascii="Arial" w:hAnsi="Arial" w:cs="Arial"/>
          <w:lang w:val="es-ES"/>
        </w:rPr>
      </w:pPr>
      <w:r w:rsidRPr="00FB15DC">
        <w:rPr>
          <w:rFonts w:ascii="Arial" w:hAnsi="Arial" w:cs="Arial"/>
        </w:rPr>
        <w:t xml:space="preserve">Como consecuencia del dictado de la Resolución 421/2016 de la Administración Gubernamental de Ingresos Públicos se vuelven a introducir importantes cambios en la  Resolución 939/2013  y su modificatoria 364/2016, pasando todos a ser aplicables para las </w:t>
      </w:r>
      <w:r w:rsidRPr="00FB15DC">
        <w:rPr>
          <w:rFonts w:ascii="Arial" w:hAnsi="Arial" w:cs="Arial"/>
          <w:b/>
          <w:bCs/>
        </w:rPr>
        <w:t>operaciones que se realicen desde el próximo 1º de noviembre.-</w:t>
      </w:r>
      <w:r w:rsidRPr="00FB15DC">
        <w:rPr>
          <w:rFonts w:ascii="Arial" w:hAnsi="Arial" w:cs="Arial"/>
        </w:rPr>
        <w:t xml:space="preserve"> Recordamos que por la última resolución mencionada se incorporarán como agentes de retención y percepción de la Ciudad Autónoma de Buenos Aires los sujetos con sustento territorial en la misma que hubieran obtenido en el año calendario inmediato anterior ingresos gravados, exentos y no gravados correspondientes a todas las jurisdicciones, netos de impuestos, por un monto superior a los $ 60.000.000,- quedando excluidos de actuar como tales  </w:t>
      </w:r>
      <w:r w:rsidRPr="00FB15DC">
        <w:rPr>
          <w:rFonts w:ascii="Arial" w:hAnsi="Arial" w:cs="Arial"/>
          <w:lang w:val="es-ES"/>
        </w:rPr>
        <w:t>las Asociaciones Civiles sin fines de lucro en los términos del Código Civil y Comercial de la Nación y ahora  también los exentos en los términos del artículo 179 del Código Fiscal (con excepción de los expresamente nominados  en los Anexos II a V).-</w:t>
      </w:r>
    </w:p>
    <w:p w:rsidR="00FB15DC" w:rsidRPr="00FB15DC" w:rsidRDefault="00FB15DC" w:rsidP="00FB15DC">
      <w:pPr>
        <w:rPr>
          <w:rFonts w:ascii="Arial" w:hAnsi="Arial" w:cs="Arial"/>
          <w:lang w:val="es-ES"/>
        </w:rPr>
      </w:pPr>
    </w:p>
    <w:p w:rsidR="00FB15DC" w:rsidRPr="00FB15DC" w:rsidRDefault="00FB15DC" w:rsidP="00FB15DC">
      <w:pPr>
        <w:rPr>
          <w:rFonts w:ascii="Arial" w:hAnsi="Arial" w:cs="Arial"/>
          <w:lang w:val="es-ES"/>
        </w:rPr>
      </w:pPr>
      <w:r w:rsidRPr="00FB15DC">
        <w:rPr>
          <w:rFonts w:ascii="Arial" w:hAnsi="Arial" w:cs="Arial"/>
          <w:lang w:val="es-ES"/>
        </w:rPr>
        <w:t xml:space="preserve">La nueva norma también sustituye el artículo 9° de la Resolución 939/2013, que determina como debe acreditarse la situación fiscal ante el agente de recaudación, determinando que el sujeto pasivo de retención y/o percepción debe comunicar cualquier modificación en su situación fiscal dentro de los </w:t>
      </w:r>
      <w:proofErr w:type="gramStart"/>
      <w:r w:rsidRPr="00FB15DC">
        <w:rPr>
          <w:rFonts w:ascii="Arial" w:hAnsi="Arial" w:cs="Arial"/>
          <w:lang w:val="es-ES"/>
        </w:rPr>
        <w:t>5  días</w:t>
      </w:r>
      <w:proofErr w:type="gramEnd"/>
      <w:r w:rsidRPr="00FB15DC">
        <w:rPr>
          <w:rFonts w:ascii="Arial" w:hAnsi="Arial" w:cs="Arial"/>
          <w:lang w:val="es-ES"/>
        </w:rPr>
        <w:t xml:space="preserve"> de ocurrida la misma (antes expresada en el artículo 14).-</w:t>
      </w:r>
    </w:p>
    <w:p w:rsidR="00FB15DC" w:rsidRPr="00FB15DC" w:rsidRDefault="00FB15DC" w:rsidP="00FB15DC">
      <w:pPr>
        <w:rPr>
          <w:rFonts w:ascii="Arial" w:hAnsi="Arial" w:cs="Arial"/>
          <w:lang w:val="es-ES"/>
        </w:rPr>
      </w:pPr>
    </w:p>
    <w:p w:rsidR="00FB15DC" w:rsidRPr="00FB15DC" w:rsidRDefault="00FB15DC" w:rsidP="00FB15DC">
      <w:pPr>
        <w:rPr>
          <w:rFonts w:ascii="Arial" w:hAnsi="Arial" w:cs="Arial"/>
        </w:rPr>
      </w:pPr>
      <w:r w:rsidRPr="00FB15DC">
        <w:rPr>
          <w:rFonts w:ascii="Arial" w:hAnsi="Arial" w:cs="Arial"/>
        </w:rPr>
        <w:t xml:space="preserve">En nuestro trabajo anterior decíamos que volviendo a la aproximación con la Provincia de Buenos Aires, era importante destacar que parecido no es igual, y que persistían en el régimen de la Ciudad consideraciones territoriales en cuanto al alcance de las percepciones, contenidas principalmente en los artículos 71 y 72 de la Resolución General 939/2013 </w:t>
      </w:r>
      <w:r w:rsidRPr="00FB15DC">
        <w:rPr>
          <w:rFonts w:ascii="Arial" w:hAnsi="Arial" w:cs="Arial"/>
          <w:b/>
          <w:bCs/>
        </w:rPr>
        <w:t>que son eliminados por la norma que estamos comentando</w:t>
      </w:r>
      <w:r w:rsidRPr="00FB15DC">
        <w:rPr>
          <w:rFonts w:ascii="Arial" w:hAnsi="Arial" w:cs="Arial"/>
        </w:rPr>
        <w:t xml:space="preserve">.- </w:t>
      </w:r>
      <w:r w:rsidRPr="00FB15DC">
        <w:rPr>
          <w:rFonts w:ascii="Arial" w:hAnsi="Arial" w:cs="Arial"/>
          <w:b/>
          <w:bCs/>
        </w:rPr>
        <w:t xml:space="preserve">Entonces ahora al igual que en la  Provincia de Buenos Aires se tiene en cuenta el hecho de que el sujeto pasible de percepción esté inscripto en la jurisdicción ya sea como local o del Convenio Multilateral y no donde se realiza la operación (dando lugar a las denominadas </w:t>
      </w:r>
      <w:proofErr w:type="spellStart"/>
      <w:r w:rsidRPr="00FB15DC">
        <w:rPr>
          <w:rFonts w:ascii="Arial" w:hAnsi="Arial" w:cs="Arial"/>
          <w:b/>
          <w:bCs/>
        </w:rPr>
        <w:t>multipercepciones</w:t>
      </w:r>
      <w:proofErr w:type="spellEnd"/>
      <w:r w:rsidRPr="00FB15DC">
        <w:rPr>
          <w:rFonts w:ascii="Arial" w:hAnsi="Arial" w:cs="Arial"/>
          <w:b/>
          <w:bCs/>
        </w:rPr>
        <w:t>,  ya que por una misma operación se puede percibir por más de una jurisdicción).-</w:t>
      </w:r>
    </w:p>
    <w:p w:rsidR="00FB15DC" w:rsidRPr="00FB15DC" w:rsidRDefault="00FB15DC" w:rsidP="00FB15DC">
      <w:pPr>
        <w:rPr>
          <w:rFonts w:ascii="Arial" w:hAnsi="Arial" w:cs="Arial"/>
        </w:rPr>
      </w:pPr>
    </w:p>
    <w:p w:rsidR="00FB15DC" w:rsidRPr="00FB15DC" w:rsidRDefault="00FB15DC" w:rsidP="00FB15DC">
      <w:pPr>
        <w:rPr>
          <w:rFonts w:ascii="Arial" w:hAnsi="Arial" w:cs="Arial"/>
          <w:lang w:val="es-ES"/>
        </w:rPr>
      </w:pPr>
      <w:r w:rsidRPr="00FB15DC">
        <w:rPr>
          <w:rFonts w:ascii="Arial" w:hAnsi="Arial" w:cs="Arial"/>
          <w:lang w:val="es-ES"/>
        </w:rPr>
        <w:t xml:space="preserve">Esto está contenido en la modificación del artículo 4° y la incorporación a continuación del mismo de dos artículos,  que también contienen la percepción a los contribuyentes y/o responsables del Impuesto sobre los Ingresos Brutos de </w:t>
      </w:r>
      <w:r w:rsidRPr="00FB15DC">
        <w:rPr>
          <w:rFonts w:ascii="Arial" w:hAnsi="Arial" w:cs="Arial"/>
          <w:b/>
          <w:bCs/>
          <w:lang w:val="es-ES"/>
        </w:rPr>
        <w:t>extraña jurisdicción</w:t>
      </w:r>
      <w:r w:rsidRPr="00FB15DC">
        <w:rPr>
          <w:rFonts w:ascii="Arial" w:hAnsi="Arial" w:cs="Arial"/>
          <w:lang w:val="es-ES"/>
        </w:rPr>
        <w:t xml:space="preserve"> cuando realicen compras de cosas muebles, locaciones (de cosas, obras o servicios) y/o prestaciones de servicios dentro del ámbito de la Ciudad Autónoma de Buenos Aires (no se adecua en este aspecto como otras tantas jurisdicciones a las pautas de la Comisión Arbitral).-</w:t>
      </w:r>
    </w:p>
    <w:p w:rsidR="00FB15DC" w:rsidRPr="00FB15DC" w:rsidRDefault="00FB15DC" w:rsidP="00FB15DC">
      <w:pPr>
        <w:rPr>
          <w:rFonts w:ascii="Arial" w:hAnsi="Arial" w:cs="Arial"/>
          <w:lang w:val="es-ES"/>
        </w:rPr>
      </w:pPr>
    </w:p>
    <w:p w:rsidR="00FB15DC" w:rsidRPr="00FB15DC" w:rsidRDefault="00FB15DC" w:rsidP="00FB15DC">
      <w:pPr>
        <w:rPr>
          <w:rFonts w:ascii="Arial" w:hAnsi="Arial" w:cs="Arial"/>
          <w:lang w:val="es-ES"/>
        </w:rPr>
      </w:pPr>
      <w:r w:rsidRPr="00FB15DC">
        <w:rPr>
          <w:rFonts w:ascii="Arial" w:hAnsi="Arial" w:cs="Arial"/>
          <w:lang w:val="es-ES"/>
        </w:rPr>
        <w:t>Asimismo se agregan a continuación del 10 dos artículos por los que se determina que la devolución de las percepciones practicadas mediante la emisión de Notas de Crédito, procederá únicamente como consecuencia de la anulación total de la operación que se hubiera instrumentado mediante la confección de la correspondiente Factura o documento equivalente y siempre que la misma se emita dentro del mes en que se realizó la operación que le diera origen.- También que no procederán las devoluciones y/o compensaciones de percepciones practicadas mediante la emisión de Notas de Crédito, en los casos de devoluciones parciales por bonificaciones, descuentos u otros conceptos similares generalmente admitidos según usos y costumbres, como así tampoco por aplicación errónea del régimen de percepción; en estos casos la repetición y/o compensación deberá ser tramitada por el contribuyente objeto de la percepción mediante el procedimiento establecido en el Código Fiscal.-</w:t>
      </w:r>
    </w:p>
    <w:p w:rsidR="00FB15DC" w:rsidRPr="00FB15DC" w:rsidRDefault="00FB15DC" w:rsidP="00FB15DC">
      <w:pPr>
        <w:rPr>
          <w:rFonts w:ascii="Arial" w:hAnsi="Arial" w:cs="Arial"/>
          <w:lang w:val="es-ES"/>
        </w:rPr>
      </w:pPr>
    </w:p>
    <w:p w:rsidR="00FB15DC" w:rsidRPr="00FB15DC" w:rsidRDefault="00FB15DC" w:rsidP="00FB15DC">
      <w:pPr>
        <w:rPr>
          <w:rFonts w:ascii="Arial" w:hAnsi="Arial" w:cs="Arial"/>
        </w:rPr>
      </w:pPr>
      <w:r w:rsidRPr="00FB15DC">
        <w:rPr>
          <w:rFonts w:ascii="Arial" w:hAnsi="Arial" w:cs="Arial"/>
          <w:lang w:val="es-ES"/>
        </w:rPr>
        <w:t xml:space="preserve">La norma que nos </w:t>
      </w:r>
      <w:proofErr w:type="gramStart"/>
      <w:r w:rsidRPr="00FB15DC">
        <w:rPr>
          <w:rFonts w:ascii="Arial" w:hAnsi="Arial" w:cs="Arial"/>
          <w:lang w:val="es-ES"/>
        </w:rPr>
        <w:t xml:space="preserve">ocupa </w:t>
      </w:r>
      <w:r w:rsidRPr="00FB15DC">
        <w:rPr>
          <w:rStyle w:val="sumarionovedades"/>
          <w:rFonts w:ascii="Arial" w:hAnsi="Arial" w:cs="Arial"/>
        </w:rPr>
        <w:t xml:space="preserve"> eleva</w:t>
      </w:r>
      <w:proofErr w:type="gramEnd"/>
      <w:r w:rsidRPr="00FB15DC">
        <w:rPr>
          <w:rStyle w:val="sumarionovedades"/>
          <w:rFonts w:ascii="Arial" w:hAnsi="Arial" w:cs="Arial"/>
        </w:rPr>
        <w:t xml:space="preserve"> al 4,5% la alícuota máxima de retención (recordamos que comenzará a utilizarse el </w:t>
      </w:r>
      <w:r w:rsidRPr="00FB15DC">
        <w:rPr>
          <w:rFonts w:ascii="Arial" w:hAnsi="Arial" w:cs="Arial"/>
        </w:rPr>
        <w:t>“Padrón de Regímenes Generales” con las alícuotas que deben aplicarse a cada contribuyente).-</w:t>
      </w:r>
    </w:p>
    <w:p w:rsidR="00FB15DC" w:rsidRPr="00FB15DC" w:rsidRDefault="00FB15DC" w:rsidP="00FB15DC">
      <w:pPr>
        <w:rPr>
          <w:rFonts w:ascii="Arial" w:hAnsi="Arial" w:cs="Arial"/>
        </w:rPr>
      </w:pPr>
    </w:p>
    <w:p w:rsidR="00FB15DC" w:rsidRPr="00FB15DC" w:rsidRDefault="00FB15DC" w:rsidP="00FB15DC">
      <w:pPr>
        <w:rPr>
          <w:rFonts w:ascii="Arial" w:hAnsi="Arial" w:cs="Arial"/>
        </w:rPr>
      </w:pPr>
      <w:r w:rsidRPr="00FB15DC">
        <w:rPr>
          <w:rFonts w:ascii="Arial" w:hAnsi="Arial" w:cs="Arial"/>
        </w:rPr>
        <w:t xml:space="preserve">Como vemos todo un contexto que parece concebido para aumentar la recaudación por vía de retenciones y </w:t>
      </w:r>
      <w:proofErr w:type="gramStart"/>
      <w:r w:rsidRPr="00FB15DC">
        <w:rPr>
          <w:rFonts w:ascii="Arial" w:hAnsi="Arial" w:cs="Arial"/>
        </w:rPr>
        <w:t>percepciones,  que</w:t>
      </w:r>
      <w:proofErr w:type="gramEnd"/>
      <w:r w:rsidRPr="00FB15DC">
        <w:rPr>
          <w:rFonts w:ascii="Arial" w:hAnsi="Arial" w:cs="Arial"/>
        </w:rPr>
        <w:t xml:space="preserve"> también alcanzarán ahora a los agentes como sujetos pasibles y que puede significar que se sumen a los contribuyentes con saldos a favor, perjuicio que se agregará a las erogaciones que tendrán que realizar para adecuar sus sistemas y comprender las diferencias entre cada uno de los múltiples regímenes de las distintas jurisdicciones.- </w:t>
      </w:r>
    </w:p>
    <w:p w:rsidR="00FB15DC" w:rsidRDefault="00FB15DC" w:rsidP="00FB15DC"/>
    <w:p w:rsidR="00FB15DC" w:rsidRDefault="00FB15DC" w:rsidP="00FB15DC"/>
    <w:p w:rsidR="00FB15DC" w:rsidRDefault="00FB15DC" w:rsidP="00FB15DC"/>
    <w:p w:rsidR="00E96182" w:rsidRPr="00FB15DC" w:rsidRDefault="00E96182" w:rsidP="00FB15DC">
      <w:pPr>
        <w:rPr>
          <w:rFonts w:ascii="Arial" w:hAnsi="Arial" w:cs="Arial"/>
          <w:color w:val="000000"/>
        </w:rPr>
      </w:pPr>
    </w:p>
    <w:sectPr w:rsidR="00E96182" w:rsidRPr="00FB15DC" w:rsidSect="001938A7">
      <w:headerReference w:type="default" r:id="rId7"/>
      <w:endnotePr>
        <w:numFmt w:val="decimal"/>
      </w:endnotePr>
      <w:pgSz w:w="11907" w:h="16840" w:code="9"/>
      <w:pgMar w:top="2552" w:right="1134" w:bottom="1135" w:left="2268" w:header="709" w:footer="709" w:gutter="0"/>
      <w:paperSrc w:first="1" w:other="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A2" w:rsidRDefault="003753A2">
      <w:r>
        <w:separator/>
      </w:r>
    </w:p>
  </w:endnote>
  <w:endnote w:type="continuationSeparator" w:id="0">
    <w:p w:rsidR="003753A2" w:rsidRDefault="0037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A2" w:rsidRDefault="003753A2">
      <w:r>
        <w:separator/>
      </w:r>
    </w:p>
  </w:footnote>
  <w:footnote w:type="continuationSeparator" w:id="0">
    <w:p w:rsidR="003753A2" w:rsidRDefault="00375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99" w:rsidRDefault="001176D9">
    <w:pPr>
      <w:pStyle w:val="Encabezado"/>
    </w:pPr>
    <w:r w:rsidRPr="00992F15">
      <w:rPr>
        <w:rFonts w:ascii="Arial" w:hAnsi="Arial" w:cs="Arial"/>
        <w:b/>
        <w:noProof/>
        <w:sz w:val="32"/>
        <w:lang w:val="es-AR"/>
      </w:rPr>
      <w:drawing>
        <wp:inline distT="0" distB="0" distL="0" distR="0">
          <wp:extent cx="2659380" cy="10820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33C"/>
    <w:multiLevelType w:val="hybridMultilevel"/>
    <w:tmpl w:val="A230AA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8F86586"/>
    <w:multiLevelType w:val="hybridMultilevel"/>
    <w:tmpl w:val="1AB29B3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0B28"/>
    <w:multiLevelType w:val="hybridMultilevel"/>
    <w:tmpl w:val="5C12A60A"/>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121277"/>
    <w:multiLevelType w:val="hybridMultilevel"/>
    <w:tmpl w:val="5720CA5C"/>
    <w:lvl w:ilvl="0" w:tplc="2C0A000F">
      <w:start w:val="1"/>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C2638F"/>
    <w:multiLevelType w:val="hybridMultilevel"/>
    <w:tmpl w:val="56BE48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1D917E0"/>
    <w:multiLevelType w:val="hybridMultilevel"/>
    <w:tmpl w:val="420E71F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4474D"/>
    <w:multiLevelType w:val="hybridMultilevel"/>
    <w:tmpl w:val="246A7F32"/>
    <w:lvl w:ilvl="0" w:tplc="2C0A0001">
      <w:start w:val="1"/>
      <w:numFmt w:val="bullet"/>
      <w:lvlText w:val=""/>
      <w:lvlJc w:val="left"/>
      <w:pPr>
        <w:tabs>
          <w:tab w:val="num" w:pos="720"/>
        </w:tabs>
        <w:ind w:left="720" w:hanging="360"/>
      </w:pPr>
      <w:rPr>
        <w:rFonts w:ascii="Symbol" w:hAnsi="Symbol" w:cs="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CC1798D"/>
    <w:multiLevelType w:val="hybridMultilevel"/>
    <w:tmpl w:val="B162A480"/>
    <w:lvl w:ilvl="0" w:tplc="2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9E2863"/>
    <w:multiLevelType w:val="hybridMultilevel"/>
    <w:tmpl w:val="56B85C06"/>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A407A6"/>
    <w:multiLevelType w:val="hybridMultilevel"/>
    <w:tmpl w:val="4E380DB8"/>
    <w:lvl w:ilvl="0" w:tplc="2C0A0001">
      <w:start w:val="1"/>
      <w:numFmt w:val="bullet"/>
      <w:lvlText w:val=""/>
      <w:lvlJc w:val="left"/>
      <w:pPr>
        <w:tabs>
          <w:tab w:val="num" w:pos="720"/>
        </w:tabs>
        <w:ind w:left="720" w:hanging="360"/>
      </w:pPr>
      <w:rPr>
        <w:rFonts w:ascii="Symbol" w:hAnsi="Symbol" w:cs="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4555FD"/>
    <w:multiLevelType w:val="hybridMultilevel"/>
    <w:tmpl w:val="8222F8F2"/>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0C0D10"/>
    <w:multiLevelType w:val="hybridMultilevel"/>
    <w:tmpl w:val="AC40B47C"/>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10"/>
  </w:num>
  <w:num w:numId="7">
    <w:abstractNumId w:val="7"/>
  </w:num>
  <w:num w:numId="8">
    <w:abstractNumId w:val="5"/>
  </w:num>
  <w:num w:numId="9">
    <w:abstractNumId w:val="4"/>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6"/>
    <w:rsid w:val="00001756"/>
    <w:rsid w:val="00003DAF"/>
    <w:rsid w:val="00015C23"/>
    <w:rsid w:val="0003671F"/>
    <w:rsid w:val="00037C0D"/>
    <w:rsid w:val="00046173"/>
    <w:rsid w:val="00046B0B"/>
    <w:rsid w:val="000735C0"/>
    <w:rsid w:val="00073B1E"/>
    <w:rsid w:val="00073F1C"/>
    <w:rsid w:val="00084810"/>
    <w:rsid w:val="000A2672"/>
    <w:rsid w:val="000A283F"/>
    <w:rsid w:val="000B0A67"/>
    <w:rsid w:val="000E2169"/>
    <w:rsid w:val="001051DB"/>
    <w:rsid w:val="001070D5"/>
    <w:rsid w:val="0011211D"/>
    <w:rsid w:val="001176D9"/>
    <w:rsid w:val="001238FE"/>
    <w:rsid w:val="00154636"/>
    <w:rsid w:val="0015512F"/>
    <w:rsid w:val="00160AA2"/>
    <w:rsid w:val="00181036"/>
    <w:rsid w:val="00183455"/>
    <w:rsid w:val="001938A7"/>
    <w:rsid w:val="00197EA4"/>
    <w:rsid w:val="001A1BE6"/>
    <w:rsid w:val="001C3478"/>
    <w:rsid w:val="001D1412"/>
    <w:rsid w:val="001D25A8"/>
    <w:rsid w:val="002061B4"/>
    <w:rsid w:val="00212ADF"/>
    <w:rsid w:val="00250053"/>
    <w:rsid w:val="00255827"/>
    <w:rsid w:val="002E0225"/>
    <w:rsid w:val="003753A2"/>
    <w:rsid w:val="003808BA"/>
    <w:rsid w:val="00393699"/>
    <w:rsid w:val="003D185B"/>
    <w:rsid w:val="003D3804"/>
    <w:rsid w:val="003E23F7"/>
    <w:rsid w:val="004162F8"/>
    <w:rsid w:val="00420BB0"/>
    <w:rsid w:val="00436C69"/>
    <w:rsid w:val="00446A15"/>
    <w:rsid w:val="00483446"/>
    <w:rsid w:val="00484CAF"/>
    <w:rsid w:val="0049156D"/>
    <w:rsid w:val="0051307D"/>
    <w:rsid w:val="00537E1D"/>
    <w:rsid w:val="00543A2E"/>
    <w:rsid w:val="00561E25"/>
    <w:rsid w:val="005A14CC"/>
    <w:rsid w:val="005C3D05"/>
    <w:rsid w:val="005E6B78"/>
    <w:rsid w:val="00601B1B"/>
    <w:rsid w:val="00602FD6"/>
    <w:rsid w:val="00606B7E"/>
    <w:rsid w:val="0064162D"/>
    <w:rsid w:val="00655A04"/>
    <w:rsid w:val="006639B7"/>
    <w:rsid w:val="00664598"/>
    <w:rsid w:val="0067100F"/>
    <w:rsid w:val="00687204"/>
    <w:rsid w:val="006B1A4A"/>
    <w:rsid w:val="006C33B3"/>
    <w:rsid w:val="006E48D3"/>
    <w:rsid w:val="007245EB"/>
    <w:rsid w:val="00726D00"/>
    <w:rsid w:val="007515C2"/>
    <w:rsid w:val="007677C1"/>
    <w:rsid w:val="00773C8E"/>
    <w:rsid w:val="00773CAA"/>
    <w:rsid w:val="00790A22"/>
    <w:rsid w:val="007943ED"/>
    <w:rsid w:val="007D1417"/>
    <w:rsid w:val="007E5510"/>
    <w:rsid w:val="007E553A"/>
    <w:rsid w:val="007E7464"/>
    <w:rsid w:val="007E76B0"/>
    <w:rsid w:val="007E7C3A"/>
    <w:rsid w:val="008259EA"/>
    <w:rsid w:val="00833022"/>
    <w:rsid w:val="00842629"/>
    <w:rsid w:val="008759ED"/>
    <w:rsid w:val="00893201"/>
    <w:rsid w:val="008C4070"/>
    <w:rsid w:val="008C5B03"/>
    <w:rsid w:val="008F0A1B"/>
    <w:rsid w:val="00913183"/>
    <w:rsid w:val="00967662"/>
    <w:rsid w:val="0099065F"/>
    <w:rsid w:val="009A333A"/>
    <w:rsid w:val="009B20DC"/>
    <w:rsid w:val="009B2DAC"/>
    <w:rsid w:val="009B6430"/>
    <w:rsid w:val="009E0091"/>
    <w:rsid w:val="009E153A"/>
    <w:rsid w:val="00A70552"/>
    <w:rsid w:val="00A929FD"/>
    <w:rsid w:val="00AD1C39"/>
    <w:rsid w:val="00B1030D"/>
    <w:rsid w:val="00B24369"/>
    <w:rsid w:val="00B476C4"/>
    <w:rsid w:val="00B60C5B"/>
    <w:rsid w:val="00B74BAF"/>
    <w:rsid w:val="00BA2EB5"/>
    <w:rsid w:val="00BB18F2"/>
    <w:rsid w:val="00BB483B"/>
    <w:rsid w:val="00BC6CEB"/>
    <w:rsid w:val="00BF6614"/>
    <w:rsid w:val="00C025FA"/>
    <w:rsid w:val="00C6083B"/>
    <w:rsid w:val="00C85911"/>
    <w:rsid w:val="00CA12A6"/>
    <w:rsid w:val="00CA6142"/>
    <w:rsid w:val="00CB2E04"/>
    <w:rsid w:val="00CD75F3"/>
    <w:rsid w:val="00CE00E4"/>
    <w:rsid w:val="00CE1761"/>
    <w:rsid w:val="00D27887"/>
    <w:rsid w:val="00D35FD0"/>
    <w:rsid w:val="00D4177B"/>
    <w:rsid w:val="00D8348E"/>
    <w:rsid w:val="00DA7458"/>
    <w:rsid w:val="00DA7F2A"/>
    <w:rsid w:val="00DB0CB6"/>
    <w:rsid w:val="00DC0808"/>
    <w:rsid w:val="00DD6C6D"/>
    <w:rsid w:val="00DE20FD"/>
    <w:rsid w:val="00E22612"/>
    <w:rsid w:val="00E2396E"/>
    <w:rsid w:val="00E41BC3"/>
    <w:rsid w:val="00E45071"/>
    <w:rsid w:val="00E6272D"/>
    <w:rsid w:val="00E72255"/>
    <w:rsid w:val="00E96182"/>
    <w:rsid w:val="00ED4FC5"/>
    <w:rsid w:val="00F03976"/>
    <w:rsid w:val="00F32222"/>
    <w:rsid w:val="00F406C1"/>
    <w:rsid w:val="00F761E3"/>
    <w:rsid w:val="00F927ED"/>
    <w:rsid w:val="00F94DE9"/>
    <w:rsid w:val="00FB15DC"/>
    <w:rsid w:val="00FC5AC4"/>
    <w:rsid w:val="00FE25CB"/>
    <w:rsid w:val="00FF54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51A08-CB27-446A-B2A7-CF12E567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jc w:val="both"/>
    </w:pPr>
    <w:rPr>
      <w:rFonts w:ascii="Century Gothic" w:hAnsi="Century Gothic" w:cs="Century Gothic"/>
      <w:sz w:val="22"/>
      <w:szCs w:val="22"/>
      <w:lang w:val="es-ES_tradnl"/>
    </w:rPr>
  </w:style>
  <w:style w:type="paragraph" w:styleId="Ttulo2">
    <w:name w:val="heading 2"/>
    <w:basedOn w:val="Normal"/>
    <w:next w:val="Normal"/>
    <w:link w:val="Ttulo2Car"/>
    <w:uiPriority w:val="9"/>
    <w:semiHidden/>
    <w:unhideWhenUsed/>
    <w:qFormat/>
    <w:rsid w:val="00393699"/>
    <w:pPr>
      <w:keepNext/>
      <w:keepLines/>
      <w:spacing w:before="40"/>
      <w:outlineLvl w:val="1"/>
    </w:pPr>
    <w:rPr>
      <w:rFonts w:ascii="Calibri Light" w:hAnsi="Calibri Light" w:cs="Times New Roman"/>
      <w:color w:val="2E74B5"/>
      <w:sz w:val="26"/>
      <w:szCs w:val="26"/>
    </w:rPr>
  </w:style>
  <w:style w:type="paragraph" w:styleId="Ttulo4">
    <w:name w:val="heading 4"/>
    <w:basedOn w:val="Normal"/>
    <w:next w:val="Normal"/>
    <w:link w:val="Ttulo4Car"/>
    <w:uiPriority w:val="9"/>
    <w:semiHidden/>
    <w:unhideWhenUsed/>
    <w:qFormat/>
    <w:rsid w:val="007515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uiPriority w:val="99"/>
    <w:rPr>
      <w:rFonts w:cs="Times New Roman"/>
      <w:color w:val="0000FF"/>
      <w:u w:val="single"/>
    </w:rPr>
  </w:style>
  <w:style w:type="paragraph" w:styleId="Textonotaalfinal">
    <w:name w:val="endnote text"/>
    <w:basedOn w:val="Normal"/>
    <w:link w:val="TextonotaalfinalCar"/>
    <w:uiPriority w:val="99"/>
    <w:semiHidden/>
    <w:rsid w:val="00483446"/>
    <w:rPr>
      <w:sz w:val="20"/>
      <w:szCs w:val="20"/>
    </w:rPr>
  </w:style>
  <w:style w:type="character" w:customStyle="1" w:styleId="TextonotaalfinalCar">
    <w:name w:val="Texto nota al final Car"/>
    <w:link w:val="Textonotaalfinal"/>
    <w:uiPriority w:val="99"/>
    <w:semiHidden/>
    <w:locked/>
    <w:rPr>
      <w:rFonts w:ascii="Century Gothic" w:hAnsi="Century Gothic" w:cs="Century Gothic"/>
      <w:sz w:val="20"/>
      <w:szCs w:val="20"/>
      <w:lang w:val="es-ES_tradnl" w:eastAsia="es-AR"/>
    </w:rPr>
  </w:style>
  <w:style w:type="character" w:styleId="Refdenotaalfinal">
    <w:name w:val="endnote reference"/>
    <w:uiPriority w:val="99"/>
    <w:semiHidden/>
    <w:rsid w:val="00483446"/>
    <w:rPr>
      <w:rFonts w:cs="Times New Roman"/>
      <w:vertAlign w:val="superscript"/>
    </w:rPr>
  </w:style>
  <w:style w:type="paragraph" w:styleId="Textonotapie">
    <w:name w:val="footnote text"/>
    <w:basedOn w:val="Normal"/>
    <w:link w:val="TextonotapieCar"/>
    <w:uiPriority w:val="99"/>
    <w:semiHidden/>
    <w:rsid w:val="00726D00"/>
    <w:rPr>
      <w:sz w:val="20"/>
      <w:szCs w:val="20"/>
    </w:rPr>
  </w:style>
  <w:style w:type="character" w:customStyle="1" w:styleId="TextonotapieCar">
    <w:name w:val="Texto nota pie Car"/>
    <w:link w:val="Textonotapie"/>
    <w:uiPriority w:val="99"/>
    <w:semiHidden/>
    <w:locked/>
    <w:rPr>
      <w:rFonts w:ascii="Century Gothic" w:hAnsi="Century Gothic" w:cs="Century Gothic"/>
      <w:sz w:val="20"/>
      <w:szCs w:val="20"/>
      <w:lang w:val="es-ES_tradnl" w:eastAsia="es-AR"/>
    </w:rPr>
  </w:style>
  <w:style w:type="character" w:styleId="Refdenotaalpie">
    <w:name w:val="footnote reference"/>
    <w:uiPriority w:val="99"/>
    <w:semiHidden/>
    <w:rsid w:val="00726D00"/>
    <w:rPr>
      <w:rFonts w:cs="Times New Roman"/>
      <w:vertAlign w:val="superscript"/>
    </w:rPr>
  </w:style>
  <w:style w:type="paragraph" w:styleId="HTMLconformatoprevio">
    <w:name w:val="HTML Preformatted"/>
    <w:basedOn w:val="Normal"/>
    <w:link w:val="HTMLconformatoprevioCar"/>
    <w:uiPriority w:val="99"/>
    <w:rsid w:val="00DA7F2A"/>
    <w:rPr>
      <w:rFonts w:ascii="Courier New" w:hAnsi="Courier New" w:cs="Courier New"/>
      <w:sz w:val="20"/>
      <w:szCs w:val="20"/>
    </w:rPr>
  </w:style>
  <w:style w:type="character" w:customStyle="1" w:styleId="HTMLconformatoprevioCar">
    <w:name w:val="HTML con formato previo Car"/>
    <w:link w:val="HTMLconformatoprevio"/>
    <w:uiPriority w:val="99"/>
    <w:semiHidden/>
    <w:locked/>
    <w:rPr>
      <w:rFonts w:ascii="Courier New" w:hAnsi="Courier New" w:cs="Courier New"/>
      <w:sz w:val="20"/>
      <w:szCs w:val="20"/>
      <w:lang w:val="es-ES_tradnl" w:eastAsia="x-none"/>
    </w:rPr>
  </w:style>
  <w:style w:type="paragraph" w:styleId="Encabezado">
    <w:name w:val="header"/>
    <w:basedOn w:val="Normal"/>
    <w:link w:val="EncabezadoCar"/>
    <w:uiPriority w:val="99"/>
    <w:rsid w:val="00393699"/>
    <w:pPr>
      <w:tabs>
        <w:tab w:val="center" w:pos="4419"/>
        <w:tab w:val="right" w:pos="8838"/>
      </w:tabs>
    </w:pPr>
  </w:style>
  <w:style w:type="character" w:customStyle="1" w:styleId="EncabezadoCar">
    <w:name w:val="Encabezado Car"/>
    <w:link w:val="Encabezado"/>
    <w:uiPriority w:val="99"/>
    <w:rsid w:val="00393699"/>
    <w:rPr>
      <w:rFonts w:ascii="Century Gothic" w:hAnsi="Century Gothic" w:cs="Century Gothic"/>
      <w:lang w:val="es-ES_tradnl"/>
    </w:rPr>
  </w:style>
  <w:style w:type="paragraph" w:styleId="Piedepgina">
    <w:name w:val="footer"/>
    <w:basedOn w:val="Normal"/>
    <w:link w:val="PiedepginaCar"/>
    <w:uiPriority w:val="99"/>
    <w:rsid w:val="00393699"/>
    <w:pPr>
      <w:tabs>
        <w:tab w:val="center" w:pos="4419"/>
        <w:tab w:val="right" w:pos="8838"/>
      </w:tabs>
    </w:pPr>
  </w:style>
  <w:style w:type="character" w:customStyle="1" w:styleId="PiedepginaCar">
    <w:name w:val="Pie de página Car"/>
    <w:link w:val="Piedepgina"/>
    <w:uiPriority w:val="99"/>
    <w:rsid w:val="00393699"/>
    <w:rPr>
      <w:rFonts w:ascii="Century Gothic" w:hAnsi="Century Gothic" w:cs="Century Gothic"/>
      <w:lang w:val="es-ES_tradnl"/>
    </w:rPr>
  </w:style>
  <w:style w:type="character" w:customStyle="1" w:styleId="Ttulo2Car">
    <w:name w:val="Título 2 Car"/>
    <w:link w:val="Ttulo2"/>
    <w:uiPriority w:val="9"/>
    <w:semiHidden/>
    <w:rsid w:val="00393699"/>
    <w:rPr>
      <w:rFonts w:ascii="Calibri Light" w:hAnsi="Calibri Light"/>
      <w:color w:val="2E74B5"/>
      <w:sz w:val="26"/>
      <w:szCs w:val="26"/>
      <w:lang w:val="es-ES_tradnl"/>
    </w:rPr>
  </w:style>
  <w:style w:type="character" w:customStyle="1" w:styleId="sumarionovedades">
    <w:name w:val="sumarionovedades"/>
    <w:uiPriority w:val="99"/>
    <w:rsid w:val="006E48D3"/>
  </w:style>
  <w:style w:type="paragraph" w:styleId="NormalWeb">
    <w:name w:val="Normal (Web)"/>
    <w:basedOn w:val="Normal"/>
    <w:uiPriority w:val="99"/>
    <w:unhideWhenUsed/>
    <w:rsid w:val="00AD1C39"/>
    <w:pPr>
      <w:widowControl/>
      <w:autoSpaceDE/>
      <w:autoSpaceDN/>
      <w:spacing w:before="100" w:beforeAutospacing="1" w:after="100" w:afterAutospacing="1"/>
      <w:jc w:val="left"/>
    </w:pPr>
    <w:rPr>
      <w:rFonts w:ascii="Times New Roman" w:eastAsia="Calibri" w:hAnsi="Times New Roman" w:cs="Times New Roman"/>
      <w:sz w:val="24"/>
      <w:szCs w:val="24"/>
      <w:lang w:val="es-AR"/>
    </w:rPr>
  </w:style>
  <w:style w:type="paragraph" w:styleId="Sinespaciado">
    <w:name w:val="No Spacing"/>
    <w:uiPriority w:val="99"/>
    <w:qFormat/>
    <w:rsid w:val="00BF6614"/>
    <w:rPr>
      <w:rFonts w:ascii="Calibri" w:hAnsi="Calibri" w:cs="Calibri"/>
      <w:sz w:val="22"/>
      <w:szCs w:val="22"/>
      <w:lang w:val="es-ES" w:eastAsia="en-US"/>
    </w:rPr>
  </w:style>
  <w:style w:type="character" w:customStyle="1" w:styleId="hipervnculo0">
    <w:name w:val="hipervnculo"/>
    <w:basedOn w:val="Fuentedeprrafopredeter"/>
    <w:uiPriority w:val="99"/>
    <w:rsid w:val="008C5B03"/>
    <w:rPr>
      <w:rFonts w:cs="Times New Roman"/>
    </w:rPr>
  </w:style>
  <w:style w:type="character" w:customStyle="1" w:styleId="Ttulo4Car">
    <w:name w:val="Título 4 Car"/>
    <w:basedOn w:val="Fuentedeprrafopredeter"/>
    <w:link w:val="Ttulo4"/>
    <w:uiPriority w:val="9"/>
    <w:semiHidden/>
    <w:rsid w:val="007515C2"/>
    <w:rPr>
      <w:rFonts w:asciiTheme="majorHAnsi" w:eastAsiaTheme="majorEastAsia" w:hAnsiTheme="majorHAnsi" w:cstheme="majorBidi"/>
      <w:i/>
      <w:iCs/>
      <w:color w:val="2E74B5" w:themeColor="accent1" w:themeShade="BF"/>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3631">
      <w:bodyDiv w:val="1"/>
      <w:marLeft w:val="0"/>
      <w:marRight w:val="0"/>
      <w:marTop w:val="0"/>
      <w:marBottom w:val="0"/>
      <w:divBdr>
        <w:top w:val="none" w:sz="0" w:space="0" w:color="auto"/>
        <w:left w:val="none" w:sz="0" w:space="0" w:color="auto"/>
        <w:bottom w:val="none" w:sz="0" w:space="0" w:color="auto"/>
        <w:right w:val="none" w:sz="0" w:space="0" w:color="auto"/>
      </w:divBdr>
    </w:div>
    <w:div w:id="629870306">
      <w:bodyDiv w:val="1"/>
      <w:marLeft w:val="0"/>
      <w:marRight w:val="0"/>
      <w:marTop w:val="0"/>
      <w:marBottom w:val="0"/>
      <w:divBdr>
        <w:top w:val="none" w:sz="0" w:space="0" w:color="auto"/>
        <w:left w:val="none" w:sz="0" w:space="0" w:color="auto"/>
        <w:bottom w:val="none" w:sz="0" w:space="0" w:color="auto"/>
        <w:right w:val="none" w:sz="0" w:space="0" w:color="auto"/>
      </w:divBdr>
    </w:div>
    <w:div w:id="1245920300">
      <w:marLeft w:val="0"/>
      <w:marRight w:val="0"/>
      <w:marTop w:val="0"/>
      <w:marBottom w:val="0"/>
      <w:divBdr>
        <w:top w:val="none" w:sz="0" w:space="0" w:color="auto"/>
        <w:left w:val="none" w:sz="0" w:space="0" w:color="auto"/>
        <w:bottom w:val="none" w:sz="0" w:space="0" w:color="auto"/>
        <w:right w:val="none" w:sz="0" w:space="0" w:color="auto"/>
      </w:divBdr>
    </w:div>
    <w:div w:id="1245920301">
      <w:marLeft w:val="0"/>
      <w:marRight w:val="0"/>
      <w:marTop w:val="0"/>
      <w:marBottom w:val="0"/>
      <w:divBdr>
        <w:top w:val="none" w:sz="0" w:space="0" w:color="auto"/>
        <w:left w:val="none" w:sz="0" w:space="0" w:color="auto"/>
        <w:bottom w:val="none" w:sz="0" w:space="0" w:color="auto"/>
        <w:right w:val="none" w:sz="0" w:space="0" w:color="auto"/>
      </w:divBdr>
      <w:divsChild>
        <w:div w:id="1245920302">
          <w:marLeft w:val="0"/>
          <w:marRight w:val="0"/>
          <w:marTop w:val="0"/>
          <w:marBottom w:val="0"/>
          <w:divBdr>
            <w:top w:val="none" w:sz="0" w:space="0" w:color="auto"/>
            <w:left w:val="none" w:sz="0" w:space="0" w:color="auto"/>
            <w:bottom w:val="none" w:sz="0" w:space="0" w:color="auto"/>
            <w:right w:val="none" w:sz="0" w:space="0" w:color="auto"/>
          </w:divBdr>
        </w:div>
      </w:divsChild>
    </w:div>
    <w:div w:id="1245920303">
      <w:marLeft w:val="0"/>
      <w:marRight w:val="0"/>
      <w:marTop w:val="0"/>
      <w:marBottom w:val="0"/>
      <w:divBdr>
        <w:top w:val="none" w:sz="0" w:space="0" w:color="auto"/>
        <w:left w:val="none" w:sz="0" w:space="0" w:color="auto"/>
        <w:bottom w:val="none" w:sz="0" w:space="0" w:color="auto"/>
        <w:right w:val="none" w:sz="0" w:space="0" w:color="auto"/>
      </w:divBdr>
      <w:divsChild>
        <w:div w:id="1245920304">
          <w:marLeft w:val="0"/>
          <w:marRight w:val="0"/>
          <w:marTop w:val="0"/>
          <w:marBottom w:val="0"/>
          <w:divBdr>
            <w:top w:val="none" w:sz="0" w:space="0" w:color="auto"/>
            <w:left w:val="none" w:sz="0" w:space="0" w:color="auto"/>
            <w:bottom w:val="none" w:sz="0" w:space="0" w:color="auto"/>
            <w:right w:val="none" w:sz="0" w:space="0" w:color="auto"/>
          </w:divBdr>
        </w:div>
      </w:divsChild>
    </w:div>
    <w:div w:id="1245920313">
      <w:marLeft w:val="0"/>
      <w:marRight w:val="0"/>
      <w:marTop w:val="0"/>
      <w:marBottom w:val="0"/>
      <w:divBdr>
        <w:top w:val="none" w:sz="0" w:space="0" w:color="auto"/>
        <w:left w:val="none" w:sz="0" w:space="0" w:color="auto"/>
        <w:bottom w:val="none" w:sz="0" w:space="0" w:color="auto"/>
        <w:right w:val="none" w:sz="0" w:space="0" w:color="auto"/>
      </w:divBdr>
      <w:divsChild>
        <w:div w:id="1245920320">
          <w:marLeft w:val="0"/>
          <w:marRight w:val="0"/>
          <w:marTop w:val="0"/>
          <w:marBottom w:val="0"/>
          <w:divBdr>
            <w:top w:val="none" w:sz="0" w:space="0" w:color="auto"/>
            <w:left w:val="none" w:sz="0" w:space="0" w:color="auto"/>
            <w:bottom w:val="none" w:sz="0" w:space="0" w:color="auto"/>
            <w:right w:val="none" w:sz="0" w:space="0" w:color="auto"/>
          </w:divBdr>
          <w:divsChild>
            <w:div w:id="1245920314">
              <w:marLeft w:val="0"/>
              <w:marRight w:val="0"/>
              <w:marTop w:val="0"/>
              <w:marBottom w:val="0"/>
              <w:divBdr>
                <w:top w:val="none" w:sz="0" w:space="0" w:color="auto"/>
                <w:left w:val="none" w:sz="0" w:space="0" w:color="auto"/>
                <w:bottom w:val="none" w:sz="0" w:space="0" w:color="auto"/>
                <w:right w:val="none" w:sz="0" w:space="0" w:color="auto"/>
              </w:divBdr>
              <w:divsChild>
                <w:div w:id="1245920307">
                  <w:marLeft w:val="0"/>
                  <w:marRight w:val="0"/>
                  <w:marTop w:val="0"/>
                  <w:marBottom w:val="0"/>
                  <w:divBdr>
                    <w:top w:val="none" w:sz="0" w:space="0" w:color="auto"/>
                    <w:left w:val="none" w:sz="0" w:space="0" w:color="auto"/>
                    <w:bottom w:val="none" w:sz="0" w:space="0" w:color="auto"/>
                    <w:right w:val="none" w:sz="0" w:space="0" w:color="auto"/>
                  </w:divBdr>
                  <w:divsChild>
                    <w:div w:id="1245920316">
                      <w:marLeft w:val="0"/>
                      <w:marRight w:val="0"/>
                      <w:marTop w:val="150"/>
                      <w:marBottom w:val="0"/>
                      <w:divBdr>
                        <w:top w:val="none" w:sz="0" w:space="0" w:color="auto"/>
                        <w:left w:val="none" w:sz="0" w:space="0" w:color="auto"/>
                        <w:bottom w:val="none" w:sz="0" w:space="0" w:color="auto"/>
                        <w:right w:val="none" w:sz="0" w:space="0" w:color="auto"/>
                      </w:divBdr>
                      <w:divsChild>
                        <w:div w:id="1245920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17">
      <w:marLeft w:val="0"/>
      <w:marRight w:val="0"/>
      <w:marTop w:val="0"/>
      <w:marBottom w:val="0"/>
      <w:divBdr>
        <w:top w:val="none" w:sz="0" w:space="0" w:color="auto"/>
        <w:left w:val="none" w:sz="0" w:space="0" w:color="auto"/>
        <w:bottom w:val="none" w:sz="0" w:space="0" w:color="auto"/>
        <w:right w:val="none" w:sz="0" w:space="0" w:color="auto"/>
      </w:divBdr>
      <w:divsChild>
        <w:div w:id="1245920309">
          <w:marLeft w:val="0"/>
          <w:marRight w:val="0"/>
          <w:marTop w:val="0"/>
          <w:marBottom w:val="0"/>
          <w:divBdr>
            <w:top w:val="none" w:sz="0" w:space="0" w:color="auto"/>
            <w:left w:val="none" w:sz="0" w:space="0" w:color="auto"/>
            <w:bottom w:val="none" w:sz="0" w:space="0" w:color="auto"/>
            <w:right w:val="none" w:sz="0" w:space="0" w:color="auto"/>
          </w:divBdr>
          <w:divsChild>
            <w:div w:id="1245920323">
              <w:marLeft w:val="0"/>
              <w:marRight w:val="0"/>
              <w:marTop w:val="0"/>
              <w:marBottom w:val="0"/>
              <w:divBdr>
                <w:top w:val="none" w:sz="0" w:space="0" w:color="auto"/>
                <w:left w:val="none" w:sz="0" w:space="0" w:color="auto"/>
                <w:bottom w:val="none" w:sz="0" w:space="0" w:color="auto"/>
                <w:right w:val="none" w:sz="0" w:space="0" w:color="auto"/>
              </w:divBdr>
              <w:divsChild>
                <w:div w:id="1245920322">
                  <w:marLeft w:val="0"/>
                  <w:marRight w:val="0"/>
                  <w:marTop w:val="0"/>
                  <w:marBottom w:val="0"/>
                  <w:divBdr>
                    <w:top w:val="none" w:sz="0" w:space="0" w:color="auto"/>
                    <w:left w:val="none" w:sz="0" w:space="0" w:color="auto"/>
                    <w:bottom w:val="none" w:sz="0" w:space="0" w:color="auto"/>
                    <w:right w:val="none" w:sz="0" w:space="0" w:color="auto"/>
                  </w:divBdr>
                  <w:divsChild>
                    <w:div w:id="1245920319">
                      <w:marLeft w:val="0"/>
                      <w:marRight w:val="0"/>
                      <w:marTop w:val="150"/>
                      <w:marBottom w:val="0"/>
                      <w:divBdr>
                        <w:top w:val="none" w:sz="0" w:space="0" w:color="auto"/>
                        <w:left w:val="none" w:sz="0" w:space="0" w:color="auto"/>
                        <w:bottom w:val="none" w:sz="0" w:space="0" w:color="auto"/>
                        <w:right w:val="none" w:sz="0" w:space="0" w:color="auto"/>
                      </w:divBdr>
                      <w:divsChild>
                        <w:div w:id="1245920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1">
      <w:marLeft w:val="0"/>
      <w:marRight w:val="0"/>
      <w:marTop w:val="0"/>
      <w:marBottom w:val="0"/>
      <w:divBdr>
        <w:top w:val="none" w:sz="0" w:space="0" w:color="auto"/>
        <w:left w:val="none" w:sz="0" w:space="0" w:color="auto"/>
        <w:bottom w:val="none" w:sz="0" w:space="0" w:color="auto"/>
        <w:right w:val="none" w:sz="0" w:space="0" w:color="auto"/>
      </w:divBdr>
      <w:divsChild>
        <w:div w:id="1245920326">
          <w:marLeft w:val="0"/>
          <w:marRight w:val="0"/>
          <w:marTop w:val="0"/>
          <w:marBottom w:val="0"/>
          <w:divBdr>
            <w:top w:val="none" w:sz="0" w:space="0" w:color="auto"/>
            <w:left w:val="none" w:sz="0" w:space="0" w:color="auto"/>
            <w:bottom w:val="none" w:sz="0" w:space="0" w:color="auto"/>
            <w:right w:val="none" w:sz="0" w:space="0" w:color="auto"/>
          </w:divBdr>
          <w:divsChild>
            <w:div w:id="1245920306">
              <w:marLeft w:val="0"/>
              <w:marRight w:val="0"/>
              <w:marTop w:val="0"/>
              <w:marBottom w:val="0"/>
              <w:divBdr>
                <w:top w:val="none" w:sz="0" w:space="0" w:color="auto"/>
                <w:left w:val="none" w:sz="0" w:space="0" w:color="auto"/>
                <w:bottom w:val="none" w:sz="0" w:space="0" w:color="auto"/>
                <w:right w:val="none" w:sz="0" w:space="0" w:color="auto"/>
              </w:divBdr>
              <w:divsChild>
                <w:div w:id="1245920308">
                  <w:marLeft w:val="0"/>
                  <w:marRight w:val="0"/>
                  <w:marTop w:val="0"/>
                  <w:marBottom w:val="0"/>
                  <w:divBdr>
                    <w:top w:val="none" w:sz="0" w:space="0" w:color="auto"/>
                    <w:left w:val="none" w:sz="0" w:space="0" w:color="auto"/>
                    <w:bottom w:val="none" w:sz="0" w:space="0" w:color="auto"/>
                    <w:right w:val="none" w:sz="0" w:space="0" w:color="auto"/>
                  </w:divBdr>
                  <w:divsChild>
                    <w:div w:id="1245920324">
                      <w:marLeft w:val="0"/>
                      <w:marRight w:val="0"/>
                      <w:marTop w:val="150"/>
                      <w:marBottom w:val="0"/>
                      <w:divBdr>
                        <w:top w:val="none" w:sz="0" w:space="0" w:color="auto"/>
                        <w:left w:val="none" w:sz="0" w:space="0" w:color="auto"/>
                        <w:bottom w:val="none" w:sz="0" w:space="0" w:color="auto"/>
                        <w:right w:val="none" w:sz="0" w:space="0" w:color="auto"/>
                      </w:divBdr>
                      <w:divsChild>
                        <w:div w:id="1245920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8">
      <w:marLeft w:val="0"/>
      <w:marRight w:val="0"/>
      <w:marTop w:val="0"/>
      <w:marBottom w:val="0"/>
      <w:divBdr>
        <w:top w:val="none" w:sz="0" w:space="0" w:color="auto"/>
        <w:left w:val="none" w:sz="0" w:space="0" w:color="auto"/>
        <w:bottom w:val="none" w:sz="0" w:space="0" w:color="auto"/>
        <w:right w:val="none" w:sz="0" w:space="0" w:color="auto"/>
      </w:divBdr>
      <w:divsChild>
        <w:div w:id="1245920315">
          <w:marLeft w:val="0"/>
          <w:marRight w:val="0"/>
          <w:marTop w:val="0"/>
          <w:marBottom w:val="0"/>
          <w:divBdr>
            <w:top w:val="none" w:sz="0" w:space="0" w:color="auto"/>
            <w:left w:val="none" w:sz="0" w:space="0" w:color="auto"/>
            <w:bottom w:val="none" w:sz="0" w:space="0" w:color="auto"/>
            <w:right w:val="none" w:sz="0" w:space="0" w:color="auto"/>
          </w:divBdr>
          <w:divsChild>
            <w:div w:id="1245920305">
              <w:marLeft w:val="0"/>
              <w:marRight w:val="0"/>
              <w:marTop w:val="0"/>
              <w:marBottom w:val="0"/>
              <w:divBdr>
                <w:top w:val="none" w:sz="0" w:space="0" w:color="auto"/>
                <w:left w:val="none" w:sz="0" w:space="0" w:color="auto"/>
                <w:bottom w:val="none" w:sz="0" w:space="0" w:color="auto"/>
                <w:right w:val="none" w:sz="0" w:space="0" w:color="auto"/>
              </w:divBdr>
              <w:divsChild>
                <w:div w:id="1245920311">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150"/>
                      <w:marBottom w:val="0"/>
                      <w:divBdr>
                        <w:top w:val="none" w:sz="0" w:space="0" w:color="auto"/>
                        <w:left w:val="none" w:sz="0" w:space="0" w:color="auto"/>
                        <w:bottom w:val="none" w:sz="0" w:space="0" w:color="auto"/>
                        <w:right w:val="none" w:sz="0" w:space="0" w:color="auto"/>
                      </w:divBdr>
                      <w:divsChild>
                        <w:div w:id="1245920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9">
      <w:marLeft w:val="0"/>
      <w:marRight w:val="0"/>
      <w:marTop w:val="0"/>
      <w:marBottom w:val="0"/>
      <w:divBdr>
        <w:top w:val="none" w:sz="0" w:space="0" w:color="auto"/>
        <w:left w:val="none" w:sz="0" w:space="0" w:color="auto"/>
        <w:bottom w:val="none" w:sz="0" w:space="0" w:color="auto"/>
        <w:right w:val="none" w:sz="0" w:space="0" w:color="auto"/>
      </w:divBdr>
    </w:div>
    <w:div w:id="1245920331">
      <w:marLeft w:val="0"/>
      <w:marRight w:val="0"/>
      <w:marTop w:val="0"/>
      <w:marBottom w:val="0"/>
      <w:divBdr>
        <w:top w:val="none" w:sz="0" w:space="0" w:color="auto"/>
        <w:left w:val="none" w:sz="0" w:space="0" w:color="auto"/>
        <w:bottom w:val="none" w:sz="0" w:space="0" w:color="auto"/>
        <w:right w:val="none" w:sz="0" w:space="0" w:color="auto"/>
      </w:divBdr>
      <w:divsChild>
        <w:div w:id="1245920333">
          <w:marLeft w:val="1650"/>
          <w:marRight w:val="0"/>
          <w:marTop w:val="15"/>
          <w:marBottom w:val="15"/>
          <w:divBdr>
            <w:top w:val="none" w:sz="0" w:space="0" w:color="auto"/>
            <w:left w:val="none" w:sz="0" w:space="0" w:color="auto"/>
            <w:bottom w:val="none" w:sz="0" w:space="0" w:color="auto"/>
            <w:right w:val="none" w:sz="0" w:space="0" w:color="auto"/>
          </w:divBdr>
          <w:divsChild>
            <w:div w:id="12459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34">
      <w:marLeft w:val="0"/>
      <w:marRight w:val="0"/>
      <w:marTop w:val="0"/>
      <w:marBottom w:val="0"/>
      <w:divBdr>
        <w:top w:val="none" w:sz="0" w:space="0" w:color="auto"/>
        <w:left w:val="none" w:sz="0" w:space="0" w:color="auto"/>
        <w:bottom w:val="none" w:sz="0" w:space="0" w:color="auto"/>
        <w:right w:val="none" w:sz="0" w:space="0" w:color="auto"/>
      </w:divBdr>
      <w:divsChild>
        <w:div w:id="1245920335">
          <w:marLeft w:val="1650"/>
          <w:marRight w:val="0"/>
          <w:marTop w:val="15"/>
          <w:marBottom w:val="15"/>
          <w:divBdr>
            <w:top w:val="none" w:sz="0" w:space="0" w:color="auto"/>
            <w:left w:val="none" w:sz="0" w:space="0" w:color="auto"/>
            <w:bottom w:val="none" w:sz="0" w:space="0" w:color="auto"/>
            <w:right w:val="none" w:sz="0" w:space="0" w:color="auto"/>
          </w:divBdr>
          <w:divsChild>
            <w:div w:id="12459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8773">
      <w:bodyDiv w:val="1"/>
      <w:marLeft w:val="0"/>
      <w:marRight w:val="0"/>
      <w:marTop w:val="0"/>
      <w:marBottom w:val="0"/>
      <w:divBdr>
        <w:top w:val="none" w:sz="0" w:space="0" w:color="auto"/>
        <w:left w:val="none" w:sz="0" w:space="0" w:color="auto"/>
        <w:bottom w:val="none" w:sz="0" w:space="0" w:color="auto"/>
        <w:right w:val="none" w:sz="0" w:space="0" w:color="auto"/>
      </w:divBdr>
    </w:div>
    <w:div w:id="1377051196">
      <w:bodyDiv w:val="1"/>
      <w:marLeft w:val="0"/>
      <w:marRight w:val="0"/>
      <w:marTop w:val="0"/>
      <w:marBottom w:val="0"/>
      <w:divBdr>
        <w:top w:val="none" w:sz="0" w:space="0" w:color="auto"/>
        <w:left w:val="none" w:sz="0" w:space="0" w:color="auto"/>
        <w:bottom w:val="none" w:sz="0" w:space="0" w:color="auto"/>
        <w:right w:val="none" w:sz="0" w:space="0" w:color="auto"/>
      </w:divBdr>
    </w:div>
    <w:div w:id="1405252744">
      <w:bodyDiv w:val="1"/>
      <w:marLeft w:val="0"/>
      <w:marRight w:val="0"/>
      <w:marTop w:val="0"/>
      <w:marBottom w:val="0"/>
      <w:divBdr>
        <w:top w:val="none" w:sz="0" w:space="0" w:color="auto"/>
        <w:left w:val="none" w:sz="0" w:space="0" w:color="auto"/>
        <w:bottom w:val="none" w:sz="0" w:space="0" w:color="auto"/>
        <w:right w:val="none" w:sz="0" w:space="0" w:color="auto"/>
      </w:divBdr>
    </w:div>
    <w:div w:id="1472867804">
      <w:bodyDiv w:val="1"/>
      <w:marLeft w:val="0"/>
      <w:marRight w:val="0"/>
      <w:marTop w:val="0"/>
      <w:marBottom w:val="0"/>
      <w:divBdr>
        <w:top w:val="none" w:sz="0" w:space="0" w:color="auto"/>
        <w:left w:val="none" w:sz="0" w:space="0" w:color="auto"/>
        <w:bottom w:val="none" w:sz="0" w:space="0" w:color="auto"/>
        <w:right w:val="none" w:sz="0" w:space="0" w:color="auto"/>
      </w:divBdr>
    </w:div>
    <w:div w:id="1529489241">
      <w:bodyDiv w:val="1"/>
      <w:marLeft w:val="0"/>
      <w:marRight w:val="0"/>
      <w:marTop w:val="0"/>
      <w:marBottom w:val="0"/>
      <w:divBdr>
        <w:top w:val="none" w:sz="0" w:space="0" w:color="auto"/>
        <w:left w:val="none" w:sz="0" w:space="0" w:color="auto"/>
        <w:bottom w:val="none" w:sz="0" w:space="0" w:color="auto"/>
        <w:right w:val="none" w:sz="0" w:space="0" w:color="auto"/>
      </w:divBdr>
    </w:div>
    <w:div w:id="1545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3</cp:revision>
  <dcterms:created xsi:type="dcterms:W3CDTF">2016-09-08T15:04:00Z</dcterms:created>
  <dcterms:modified xsi:type="dcterms:W3CDTF">2016-09-08T21:15:00Z</dcterms:modified>
</cp:coreProperties>
</file>