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18-0</w:t>
      </w:r>
      <w:r w:rsidR="00A64D45">
        <w:rPr>
          <w:rFonts w:ascii="Arial" w:hAnsi="Arial" w:cs="Arial"/>
          <w:b/>
          <w:bCs/>
          <w:sz w:val="36"/>
          <w:szCs w:val="36"/>
        </w:rPr>
        <w:t>1</w:t>
      </w:r>
      <w:r w:rsidR="00DA246E">
        <w:rPr>
          <w:rFonts w:ascii="Arial" w:hAnsi="Arial" w:cs="Arial"/>
          <w:b/>
          <w:bCs/>
          <w:sz w:val="36"/>
          <w:szCs w:val="36"/>
        </w:rPr>
        <w:t>8</w:t>
      </w:r>
    </w:p>
    <w:p w:rsidR="00310F7E" w:rsidRDefault="00310F7E" w:rsidP="007C7168">
      <w:pPr>
        <w:jc w:val="right"/>
        <w:rPr>
          <w:rFonts w:ascii="Arial" w:hAnsi="Arial" w:cs="Arial"/>
          <w:b/>
          <w:bCs/>
          <w:sz w:val="36"/>
          <w:szCs w:val="36"/>
        </w:rPr>
      </w:pPr>
    </w:p>
    <w:p w:rsidR="009E458A" w:rsidRDefault="009E458A" w:rsidP="009E458A">
      <w:pPr>
        <w:rPr>
          <w:rFonts w:ascii="Arial" w:hAnsi="Arial" w:cs="Arial"/>
          <w:b/>
          <w:bCs/>
          <w:sz w:val="28"/>
          <w:szCs w:val="28"/>
          <w:lang w:val="es-AR"/>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B62E5">
        <w:rPr>
          <w:rFonts w:ascii="Arial" w:hAnsi="Arial" w:cs="Arial"/>
          <w:b/>
          <w:bCs/>
          <w:sz w:val="28"/>
          <w:szCs w:val="28"/>
        </w:rPr>
        <w:t>0</w:t>
      </w:r>
      <w:r w:rsidR="00DA246E">
        <w:rPr>
          <w:rFonts w:ascii="Arial" w:hAnsi="Arial" w:cs="Arial"/>
          <w:b/>
          <w:bCs/>
          <w:sz w:val="28"/>
          <w:szCs w:val="28"/>
        </w:rPr>
        <w:t>10</w:t>
      </w:r>
    </w:p>
    <w:p w:rsidR="00A64D45" w:rsidRDefault="00A64D45" w:rsidP="00A64D45">
      <w:pPr>
        <w:rPr>
          <w:rFonts w:ascii="Arial" w:hAnsi="Arial" w:cs="Arial"/>
          <w:b/>
          <w:sz w:val="28"/>
          <w:szCs w:val="28"/>
        </w:rPr>
      </w:pPr>
    </w:p>
    <w:p w:rsidR="00DA246E" w:rsidRPr="00DA246E" w:rsidRDefault="00DA246E" w:rsidP="00DA246E">
      <w:pPr>
        <w:jc w:val="center"/>
        <w:rPr>
          <w:rFonts w:ascii="Arial" w:hAnsi="Arial" w:cs="Arial"/>
          <w:b/>
          <w:i/>
          <w:sz w:val="28"/>
          <w:szCs w:val="28"/>
          <w:u w:val="single"/>
        </w:rPr>
      </w:pPr>
      <w:r w:rsidRPr="00DA246E">
        <w:rPr>
          <w:rFonts w:ascii="Arial" w:hAnsi="Arial" w:cs="Arial"/>
          <w:b/>
          <w:i/>
          <w:sz w:val="28"/>
          <w:szCs w:val="28"/>
          <w:u w:val="single"/>
        </w:rPr>
        <w:t xml:space="preserve">PROVINCIA </w:t>
      </w:r>
      <w:proofErr w:type="gramStart"/>
      <w:r w:rsidRPr="00DA246E">
        <w:rPr>
          <w:rFonts w:ascii="Arial" w:hAnsi="Arial" w:cs="Arial"/>
          <w:b/>
          <w:i/>
          <w:sz w:val="28"/>
          <w:szCs w:val="28"/>
          <w:u w:val="single"/>
        </w:rPr>
        <w:t>DE  JUJUY</w:t>
      </w:r>
      <w:proofErr w:type="gramEnd"/>
      <w:r w:rsidRPr="00DA246E">
        <w:rPr>
          <w:rFonts w:ascii="Arial" w:hAnsi="Arial" w:cs="Arial"/>
          <w:b/>
          <w:i/>
          <w:sz w:val="28"/>
          <w:szCs w:val="28"/>
          <w:u w:val="single"/>
        </w:rPr>
        <w:t xml:space="preserve">  </w:t>
      </w:r>
    </w:p>
    <w:p w:rsidR="00DA246E" w:rsidRPr="00DA246E" w:rsidRDefault="00DA246E" w:rsidP="00DA246E">
      <w:pPr>
        <w:jc w:val="center"/>
        <w:rPr>
          <w:rFonts w:ascii="Arial" w:hAnsi="Arial" w:cs="Arial"/>
          <w:sz w:val="28"/>
          <w:szCs w:val="28"/>
        </w:rPr>
      </w:pPr>
    </w:p>
    <w:p w:rsidR="00DA246E" w:rsidRPr="00DA246E" w:rsidRDefault="00DA246E" w:rsidP="00DA246E">
      <w:pPr>
        <w:rPr>
          <w:rFonts w:ascii="Arial" w:hAnsi="Arial" w:cs="Arial"/>
          <w:sz w:val="28"/>
          <w:szCs w:val="28"/>
        </w:rPr>
      </w:pPr>
      <w:bookmarkStart w:id="0" w:name="_GoBack"/>
      <w:bookmarkEnd w:id="0"/>
      <w:r w:rsidRPr="00DA246E">
        <w:rPr>
          <w:rFonts w:ascii="Arial" w:hAnsi="Arial" w:cs="Arial"/>
          <w:i/>
          <w:sz w:val="28"/>
          <w:szCs w:val="28"/>
          <w:u w:val="single"/>
        </w:rPr>
        <w:t xml:space="preserve">CODIFICACION – ALICUOTAS  2018   (Alícuota General 3%) </w:t>
      </w:r>
    </w:p>
    <w:p w:rsidR="00DA246E" w:rsidRPr="00DA246E" w:rsidRDefault="00DA246E" w:rsidP="00DA246E">
      <w:pPr>
        <w:rPr>
          <w:rFonts w:ascii="Arial" w:hAnsi="Arial" w:cs="Arial"/>
          <w:sz w:val="28"/>
          <w:szCs w:val="28"/>
        </w:rPr>
      </w:pPr>
    </w:p>
    <w:tbl>
      <w:tblPr>
        <w:tblW w:w="11448"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992"/>
        <w:gridCol w:w="992"/>
        <w:gridCol w:w="1134"/>
        <w:gridCol w:w="2268"/>
      </w:tblGrid>
      <w:tr w:rsidR="00DA246E" w:rsidTr="00DA246E">
        <w:trPr>
          <w:trHeight w:val="352"/>
        </w:trPr>
        <w:tc>
          <w:tcPr>
            <w:tcW w:w="2235" w:type="dxa"/>
            <w:gridSpan w:val="2"/>
          </w:tcPr>
          <w:p w:rsidR="00DA246E" w:rsidRDefault="00DA246E" w:rsidP="001D097E">
            <w:pPr>
              <w:jc w:val="center"/>
              <w:rPr>
                <w:b/>
              </w:rPr>
            </w:pPr>
          </w:p>
          <w:p w:rsidR="00DA246E" w:rsidRPr="007939E7" w:rsidRDefault="00DA246E" w:rsidP="001D097E">
            <w:pPr>
              <w:jc w:val="center"/>
              <w:rPr>
                <w:b/>
              </w:rPr>
            </w:pPr>
            <w:r w:rsidRPr="007939E7">
              <w:rPr>
                <w:b/>
              </w:rPr>
              <w:t>CODIGO</w:t>
            </w:r>
          </w:p>
        </w:tc>
        <w:tc>
          <w:tcPr>
            <w:tcW w:w="3827" w:type="dxa"/>
            <w:vMerge w:val="restart"/>
          </w:tcPr>
          <w:p w:rsidR="00DA246E" w:rsidRDefault="00DA246E" w:rsidP="001D097E">
            <w:pPr>
              <w:jc w:val="center"/>
              <w:rPr>
                <w:b/>
              </w:rPr>
            </w:pPr>
          </w:p>
          <w:p w:rsidR="00DA246E" w:rsidRDefault="00DA246E" w:rsidP="001D097E">
            <w:pPr>
              <w:jc w:val="center"/>
              <w:rPr>
                <w:b/>
              </w:rPr>
            </w:pPr>
            <w:r w:rsidRPr="007939E7">
              <w:rPr>
                <w:b/>
              </w:rPr>
              <w:t>DESCRIPCION</w:t>
            </w:r>
          </w:p>
          <w:p w:rsidR="00DA246E" w:rsidRDefault="00DA246E" w:rsidP="001D097E">
            <w:pPr>
              <w:jc w:val="center"/>
              <w:rPr>
                <w:b/>
              </w:rPr>
            </w:pPr>
          </w:p>
          <w:p w:rsidR="00DA246E" w:rsidRPr="007939E7" w:rsidRDefault="00DA246E" w:rsidP="001D097E">
            <w:pPr>
              <w:jc w:val="center"/>
              <w:rPr>
                <w:b/>
              </w:rPr>
            </w:pPr>
            <w:r>
              <w:rPr>
                <w:b/>
              </w:rPr>
              <w:t>(1)</w:t>
            </w:r>
          </w:p>
        </w:tc>
        <w:tc>
          <w:tcPr>
            <w:tcW w:w="3118" w:type="dxa"/>
            <w:gridSpan w:val="3"/>
          </w:tcPr>
          <w:p w:rsidR="00DA246E" w:rsidRPr="007939E7" w:rsidRDefault="00DA246E" w:rsidP="001D097E">
            <w:pPr>
              <w:jc w:val="center"/>
              <w:rPr>
                <w:b/>
              </w:rPr>
            </w:pPr>
            <w:r>
              <w:rPr>
                <w:b/>
              </w:rPr>
              <w:t>ALICUOTAS</w:t>
            </w:r>
          </w:p>
        </w:tc>
        <w:tc>
          <w:tcPr>
            <w:tcW w:w="2268" w:type="dxa"/>
            <w:vMerge w:val="restart"/>
          </w:tcPr>
          <w:p w:rsidR="00DA246E" w:rsidRDefault="00DA246E" w:rsidP="001D097E">
            <w:pPr>
              <w:jc w:val="center"/>
              <w:rPr>
                <w:b/>
              </w:rPr>
            </w:pPr>
          </w:p>
          <w:p w:rsidR="00DA246E" w:rsidRPr="00D641A4" w:rsidRDefault="00DA246E" w:rsidP="001D097E">
            <w:pPr>
              <w:jc w:val="center"/>
              <w:rPr>
                <w:b/>
              </w:rPr>
            </w:pPr>
            <w:r w:rsidRPr="00D641A4">
              <w:rPr>
                <w:b/>
              </w:rPr>
              <w:t>OBSERVACIONES</w:t>
            </w:r>
          </w:p>
        </w:tc>
      </w:tr>
      <w:tr w:rsidR="00DA246E" w:rsidTr="00DA246E">
        <w:trPr>
          <w:trHeight w:val="351"/>
        </w:trPr>
        <w:tc>
          <w:tcPr>
            <w:tcW w:w="1101" w:type="dxa"/>
          </w:tcPr>
          <w:p w:rsidR="00DA246E" w:rsidRDefault="00DA246E" w:rsidP="001D097E">
            <w:pPr>
              <w:jc w:val="center"/>
              <w:rPr>
                <w:b/>
              </w:rPr>
            </w:pPr>
            <w:r>
              <w:rPr>
                <w:b/>
              </w:rPr>
              <w:t>C.M.</w:t>
            </w:r>
          </w:p>
        </w:tc>
        <w:tc>
          <w:tcPr>
            <w:tcW w:w="1134" w:type="dxa"/>
          </w:tcPr>
          <w:p w:rsidR="00DA246E" w:rsidRDefault="00DA246E" w:rsidP="001D097E">
            <w:pPr>
              <w:jc w:val="center"/>
              <w:rPr>
                <w:b/>
              </w:rPr>
            </w:pPr>
            <w:r>
              <w:rPr>
                <w:b/>
              </w:rPr>
              <w:t>PCIA.</w:t>
            </w:r>
          </w:p>
          <w:p w:rsidR="00DA246E" w:rsidRDefault="00DA246E" w:rsidP="001D097E">
            <w:pPr>
              <w:jc w:val="center"/>
              <w:rPr>
                <w:b/>
              </w:rPr>
            </w:pPr>
          </w:p>
        </w:tc>
        <w:tc>
          <w:tcPr>
            <w:tcW w:w="3827" w:type="dxa"/>
            <w:vMerge/>
          </w:tcPr>
          <w:p w:rsidR="00DA246E" w:rsidRDefault="00DA246E" w:rsidP="001D097E">
            <w:pPr>
              <w:jc w:val="center"/>
              <w:rPr>
                <w:b/>
              </w:rPr>
            </w:pPr>
          </w:p>
        </w:tc>
        <w:tc>
          <w:tcPr>
            <w:tcW w:w="992" w:type="dxa"/>
          </w:tcPr>
          <w:p w:rsidR="00DA246E" w:rsidRPr="00810636" w:rsidRDefault="00DA246E" w:rsidP="001D097E">
            <w:pPr>
              <w:rPr>
                <w:b/>
                <w:sz w:val="16"/>
                <w:szCs w:val="16"/>
              </w:rPr>
            </w:pPr>
            <w:r w:rsidRPr="00810636">
              <w:rPr>
                <w:b/>
                <w:sz w:val="16"/>
                <w:szCs w:val="16"/>
              </w:rPr>
              <w:t>BI MENOR</w:t>
            </w:r>
          </w:p>
          <w:p w:rsidR="00DA246E" w:rsidRPr="00810636" w:rsidRDefault="00DA246E" w:rsidP="001D097E">
            <w:pPr>
              <w:rPr>
                <w:b/>
                <w:sz w:val="16"/>
                <w:szCs w:val="16"/>
              </w:rPr>
            </w:pPr>
            <w:r w:rsidRPr="00810636">
              <w:rPr>
                <w:b/>
                <w:sz w:val="16"/>
                <w:szCs w:val="16"/>
              </w:rPr>
              <w:t>60.000.000</w:t>
            </w:r>
          </w:p>
        </w:tc>
        <w:tc>
          <w:tcPr>
            <w:tcW w:w="992" w:type="dxa"/>
          </w:tcPr>
          <w:p w:rsidR="00DA246E" w:rsidRPr="00810636" w:rsidRDefault="00DA246E" w:rsidP="001D097E">
            <w:pPr>
              <w:rPr>
                <w:b/>
                <w:sz w:val="16"/>
                <w:szCs w:val="16"/>
              </w:rPr>
            </w:pPr>
            <w:r w:rsidRPr="00810636">
              <w:rPr>
                <w:b/>
                <w:sz w:val="16"/>
                <w:szCs w:val="16"/>
              </w:rPr>
              <w:t>BI MAYOR</w:t>
            </w:r>
          </w:p>
          <w:p w:rsidR="00DA246E" w:rsidRPr="00810636" w:rsidRDefault="00DA246E" w:rsidP="001D097E">
            <w:pPr>
              <w:rPr>
                <w:b/>
                <w:sz w:val="16"/>
                <w:szCs w:val="16"/>
              </w:rPr>
            </w:pPr>
            <w:r w:rsidRPr="00810636">
              <w:rPr>
                <w:b/>
                <w:sz w:val="16"/>
                <w:szCs w:val="16"/>
              </w:rPr>
              <w:t>60.000.000</w:t>
            </w:r>
          </w:p>
        </w:tc>
        <w:tc>
          <w:tcPr>
            <w:tcW w:w="1134" w:type="dxa"/>
          </w:tcPr>
          <w:p w:rsidR="00DA246E" w:rsidRPr="00810636" w:rsidRDefault="00DA246E" w:rsidP="001D097E">
            <w:pPr>
              <w:rPr>
                <w:b/>
                <w:sz w:val="16"/>
                <w:szCs w:val="16"/>
              </w:rPr>
            </w:pPr>
            <w:r w:rsidRPr="00810636">
              <w:rPr>
                <w:b/>
                <w:sz w:val="16"/>
                <w:szCs w:val="16"/>
              </w:rPr>
              <w:t>ESPECIAL</w:t>
            </w:r>
          </w:p>
        </w:tc>
        <w:tc>
          <w:tcPr>
            <w:tcW w:w="2268" w:type="dxa"/>
            <w:vMerge/>
          </w:tcPr>
          <w:p w:rsidR="00DA246E" w:rsidRDefault="00DA246E" w:rsidP="001D097E">
            <w:pPr>
              <w:jc w:val="center"/>
              <w:rPr>
                <w:b/>
              </w:rPr>
            </w:pPr>
          </w:p>
        </w:tc>
      </w:tr>
      <w:tr w:rsidR="00DA246E" w:rsidRPr="007939E7" w:rsidTr="00DA246E">
        <w:trPr>
          <w:trHeight w:val="280"/>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492210</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492210</w:t>
            </w:r>
          </w:p>
        </w:tc>
        <w:tc>
          <w:tcPr>
            <w:tcW w:w="3827" w:type="dxa"/>
          </w:tcPr>
          <w:p w:rsidR="00DA246E" w:rsidRPr="008F05B8" w:rsidRDefault="00DA246E" w:rsidP="001D097E">
            <w:pPr>
              <w:rPr>
                <w:rFonts w:ascii="Comic Sans MS" w:hAnsi="Comic Sans MS"/>
                <w:sz w:val="16"/>
                <w:szCs w:val="16"/>
              </w:rPr>
            </w:pPr>
            <w:r w:rsidRPr="008F05B8">
              <w:rPr>
                <w:rFonts w:ascii="Comic Sans MS" w:hAnsi="Comic Sans MS"/>
                <w:sz w:val="16"/>
                <w:szCs w:val="16"/>
              </w:rPr>
              <w:t>Servicio de Mudanzas</w:t>
            </w:r>
          </w:p>
        </w:tc>
        <w:tc>
          <w:tcPr>
            <w:tcW w:w="992" w:type="dxa"/>
            <w:vMerge w:val="restart"/>
          </w:tcPr>
          <w:p w:rsidR="00DA246E" w:rsidRPr="007939E7" w:rsidRDefault="00DA246E" w:rsidP="001D097E">
            <w:pPr>
              <w:jc w:val="center"/>
              <w:rPr>
                <w:sz w:val="20"/>
                <w:szCs w:val="20"/>
              </w:rPr>
            </w:pPr>
          </w:p>
        </w:tc>
        <w:tc>
          <w:tcPr>
            <w:tcW w:w="992" w:type="dxa"/>
            <w:vMerge w:val="restart"/>
          </w:tcPr>
          <w:p w:rsidR="00DA246E" w:rsidRPr="007939E7" w:rsidRDefault="00DA246E" w:rsidP="001D097E">
            <w:pPr>
              <w:jc w:val="center"/>
              <w:rPr>
                <w:sz w:val="20"/>
                <w:szCs w:val="20"/>
              </w:rPr>
            </w:pPr>
          </w:p>
        </w:tc>
        <w:tc>
          <w:tcPr>
            <w:tcW w:w="1134" w:type="dxa"/>
            <w:vMerge w:val="restart"/>
          </w:tcPr>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Pr="007939E7" w:rsidRDefault="00DA246E" w:rsidP="001D097E">
            <w:pPr>
              <w:jc w:val="center"/>
              <w:rPr>
                <w:sz w:val="20"/>
                <w:szCs w:val="20"/>
              </w:rPr>
            </w:pPr>
            <w:r>
              <w:rPr>
                <w:sz w:val="20"/>
                <w:szCs w:val="20"/>
              </w:rPr>
              <w:t>2%</w:t>
            </w:r>
          </w:p>
        </w:tc>
        <w:tc>
          <w:tcPr>
            <w:tcW w:w="2268" w:type="dxa"/>
            <w:vMerge w:val="restart"/>
          </w:tcPr>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r>
              <w:rPr>
                <w:sz w:val="20"/>
                <w:szCs w:val="20"/>
              </w:rPr>
              <w:t>Ley 6053 (año 2018)</w:t>
            </w:r>
          </w:p>
          <w:p w:rsidR="00DA246E" w:rsidRPr="00C33E91" w:rsidRDefault="00DA246E" w:rsidP="001D097E">
            <w:pPr>
              <w:jc w:val="center"/>
              <w:rPr>
                <w:sz w:val="20"/>
                <w:szCs w:val="20"/>
              </w:rPr>
            </w:pPr>
            <w:r>
              <w:rPr>
                <w:sz w:val="20"/>
                <w:szCs w:val="20"/>
              </w:rPr>
              <w:t>RG.1496/2018</w:t>
            </w:r>
          </w:p>
          <w:p w:rsidR="00DA246E" w:rsidRDefault="00DA246E" w:rsidP="001D097E">
            <w:pPr>
              <w:jc w:val="center"/>
              <w:rPr>
                <w:sz w:val="20"/>
                <w:szCs w:val="20"/>
              </w:rPr>
            </w:pPr>
          </w:p>
          <w:p w:rsidR="00DA246E" w:rsidRDefault="00DA246E" w:rsidP="001D097E">
            <w:pPr>
              <w:jc w:val="center"/>
              <w:rPr>
                <w:sz w:val="20"/>
                <w:szCs w:val="20"/>
              </w:rPr>
            </w:pPr>
          </w:p>
          <w:p w:rsidR="00DA246E" w:rsidRPr="007939E7" w:rsidRDefault="00DA246E" w:rsidP="001D097E">
            <w:pPr>
              <w:jc w:val="center"/>
              <w:rPr>
                <w:sz w:val="20"/>
                <w:szCs w:val="20"/>
              </w:rPr>
            </w:pPr>
          </w:p>
        </w:tc>
      </w:tr>
      <w:tr w:rsidR="00DA246E" w:rsidRPr="007939E7" w:rsidTr="00DA246E">
        <w:trPr>
          <w:trHeight w:val="230"/>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492221</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492221</w:t>
            </w:r>
          </w:p>
        </w:tc>
        <w:tc>
          <w:tcPr>
            <w:tcW w:w="3827" w:type="dxa"/>
          </w:tcPr>
          <w:p w:rsidR="00DA246E" w:rsidRPr="008F05B8" w:rsidRDefault="00DA246E" w:rsidP="001D097E">
            <w:pPr>
              <w:rPr>
                <w:rFonts w:ascii="Comic Sans MS" w:hAnsi="Comic Sans MS"/>
                <w:sz w:val="16"/>
                <w:szCs w:val="16"/>
              </w:rPr>
            </w:pPr>
            <w:r w:rsidRPr="008F05B8">
              <w:rPr>
                <w:rFonts w:ascii="Comic Sans MS" w:hAnsi="Comic Sans MS"/>
                <w:sz w:val="16"/>
                <w:szCs w:val="16"/>
              </w:rPr>
              <w:t>Servicio de Transporte Automotor de Cereales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2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492229</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492229</w:t>
            </w:r>
          </w:p>
        </w:tc>
        <w:tc>
          <w:tcPr>
            <w:tcW w:w="3827" w:type="dxa"/>
          </w:tcPr>
          <w:p w:rsidR="00DA246E" w:rsidRPr="008F05B8" w:rsidRDefault="00DA246E" w:rsidP="001D097E">
            <w:pPr>
              <w:rPr>
                <w:rFonts w:ascii="Comic Sans MS" w:hAnsi="Comic Sans MS"/>
                <w:sz w:val="16"/>
                <w:szCs w:val="16"/>
              </w:rPr>
            </w:pPr>
            <w:r w:rsidRPr="008F05B8">
              <w:rPr>
                <w:rFonts w:ascii="Comic Sans MS" w:hAnsi="Comic Sans MS"/>
                <w:sz w:val="16"/>
                <w:szCs w:val="16"/>
              </w:rPr>
              <w:t>Servicio de transporte de mercaderías a granel</w:t>
            </w:r>
            <w:r>
              <w:rPr>
                <w:rFonts w:ascii="Comic Sans MS" w:hAnsi="Comic Sans MS"/>
                <w:sz w:val="16"/>
                <w:szCs w:val="16"/>
              </w:rPr>
              <w:t xml:space="preserve"> </w:t>
            </w:r>
            <w:proofErr w:type="spellStart"/>
            <w:r>
              <w:rPr>
                <w:rFonts w:ascii="Comic Sans MS" w:hAnsi="Comic Sans MS"/>
                <w:sz w:val="16"/>
                <w:szCs w:val="16"/>
              </w:rPr>
              <w:t>n.c.p</w:t>
            </w:r>
            <w:proofErr w:type="spellEnd"/>
            <w:r>
              <w:rPr>
                <w:rFonts w:ascii="Comic Sans MS" w:hAnsi="Comic Sans MS"/>
                <w:sz w:val="16"/>
                <w:szCs w:val="16"/>
              </w:rPr>
              <w:t>.</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230"/>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492240</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492240</w:t>
            </w:r>
          </w:p>
        </w:tc>
        <w:tc>
          <w:tcPr>
            <w:tcW w:w="3827" w:type="dxa"/>
          </w:tcPr>
          <w:p w:rsidR="00DA246E" w:rsidRPr="008F05B8" w:rsidRDefault="00DA246E" w:rsidP="001D097E">
            <w:pPr>
              <w:rPr>
                <w:rFonts w:ascii="Comic Sans MS" w:hAnsi="Comic Sans MS"/>
                <w:sz w:val="16"/>
                <w:szCs w:val="16"/>
              </w:rPr>
            </w:pPr>
            <w:r w:rsidRPr="00176543">
              <w:rPr>
                <w:rFonts w:ascii="Comic Sans MS" w:hAnsi="Comic Sans MS" w:cs="Calibri"/>
                <w:color w:val="000000"/>
                <w:sz w:val="16"/>
                <w:szCs w:val="16"/>
              </w:rPr>
              <w:t>Servicio de transporte por camión cisterna</w:t>
            </w:r>
            <w:r>
              <w:rPr>
                <w:rFonts w:ascii="Comic Sans MS" w:hAnsi="Comic Sans MS" w:cs="Calibri"/>
                <w:color w:val="000000"/>
                <w:sz w:val="16"/>
                <w:szCs w:val="16"/>
              </w:rPr>
              <w:t>.</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177"/>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492230</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492230</w:t>
            </w:r>
          </w:p>
        </w:tc>
        <w:tc>
          <w:tcPr>
            <w:tcW w:w="3827" w:type="dxa"/>
          </w:tcPr>
          <w:p w:rsidR="00DA246E" w:rsidRPr="008F05B8" w:rsidRDefault="00DA246E" w:rsidP="001D097E">
            <w:pPr>
              <w:rPr>
                <w:rFonts w:ascii="Comic Sans MS" w:hAnsi="Comic Sans MS"/>
                <w:sz w:val="16"/>
                <w:szCs w:val="16"/>
              </w:rPr>
            </w:pPr>
            <w:r w:rsidRPr="008F05B8">
              <w:rPr>
                <w:rFonts w:ascii="Comic Sans MS" w:hAnsi="Comic Sans MS"/>
                <w:sz w:val="16"/>
                <w:szCs w:val="16"/>
              </w:rPr>
              <w:t xml:space="preserve">Servicio de transporte </w:t>
            </w:r>
            <w:r>
              <w:rPr>
                <w:rFonts w:ascii="Comic Sans MS" w:hAnsi="Comic Sans MS"/>
                <w:sz w:val="16"/>
                <w:szCs w:val="16"/>
              </w:rPr>
              <w:t xml:space="preserve">automotor </w:t>
            </w:r>
            <w:r w:rsidRPr="008F05B8">
              <w:rPr>
                <w:rFonts w:ascii="Comic Sans MS" w:hAnsi="Comic Sans MS"/>
                <w:sz w:val="16"/>
                <w:szCs w:val="16"/>
              </w:rPr>
              <w:t>de animales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176"/>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492280</w:t>
            </w:r>
          </w:p>
        </w:tc>
        <w:tc>
          <w:tcPr>
            <w:tcW w:w="1134" w:type="dxa"/>
          </w:tcPr>
          <w:p w:rsidR="00DA246E" w:rsidRPr="008F05B8" w:rsidRDefault="00DA246E" w:rsidP="001D097E">
            <w:pPr>
              <w:jc w:val="center"/>
              <w:rPr>
                <w:rFonts w:ascii="Comic Sans MS" w:hAnsi="Comic Sans MS"/>
                <w:sz w:val="16"/>
                <w:szCs w:val="16"/>
              </w:rPr>
            </w:pPr>
            <w:r w:rsidRPr="008F05B8">
              <w:rPr>
                <w:rFonts w:ascii="Comic Sans MS" w:hAnsi="Comic Sans MS"/>
                <w:sz w:val="16"/>
                <w:szCs w:val="16"/>
              </w:rPr>
              <w:t>492280</w:t>
            </w:r>
          </w:p>
        </w:tc>
        <w:tc>
          <w:tcPr>
            <w:tcW w:w="3827" w:type="dxa"/>
          </w:tcPr>
          <w:p w:rsidR="00DA246E" w:rsidRPr="008F05B8" w:rsidRDefault="00DA246E" w:rsidP="001D097E">
            <w:pPr>
              <w:rPr>
                <w:rFonts w:ascii="Comic Sans MS" w:hAnsi="Comic Sans MS"/>
                <w:sz w:val="16"/>
                <w:szCs w:val="16"/>
              </w:rPr>
            </w:pPr>
            <w:r w:rsidRPr="008F05B8">
              <w:rPr>
                <w:rFonts w:ascii="Comic Sans MS" w:hAnsi="Comic Sans MS"/>
                <w:sz w:val="16"/>
                <w:szCs w:val="16"/>
              </w:rPr>
              <w:t>Servicio de transporte urbano de cagas NCP</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176"/>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492250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492250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 de transporte automotor de mercaderías y sustancias peligrosas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7939E7" w:rsidTr="00DA246E">
        <w:trPr>
          <w:trHeight w:val="112"/>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492299</w:t>
            </w:r>
          </w:p>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492291</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49229</w:t>
            </w:r>
            <w:r>
              <w:rPr>
                <w:rFonts w:ascii="Comic Sans MS" w:hAnsi="Comic Sans MS" w:cs="Calibri"/>
                <w:color w:val="000000"/>
                <w:sz w:val="16"/>
                <w:szCs w:val="16"/>
              </w:rPr>
              <w:t>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 de transporte automotor de cargas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jc w:val="center"/>
              <w:rPr>
                <w:sz w:val="20"/>
                <w:szCs w:val="20"/>
              </w:rPr>
            </w:pPr>
          </w:p>
        </w:tc>
      </w:tr>
      <w:tr w:rsidR="00DA246E" w:rsidRPr="00450EAE" w:rsidTr="00DA246E">
        <w:trPr>
          <w:trHeight w:val="540"/>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521010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521010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manipulación de carga en el ámbito terrestre</w:t>
            </w:r>
          </w:p>
        </w:tc>
        <w:tc>
          <w:tcPr>
            <w:tcW w:w="992" w:type="dxa"/>
            <w:vMerge w:val="restart"/>
          </w:tcPr>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rPr>
                <w:sz w:val="20"/>
                <w:szCs w:val="20"/>
              </w:rPr>
            </w:pPr>
            <w:r>
              <w:rPr>
                <w:sz w:val="20"/>
                <w:szCs w:val="20"/>
              </w:rPr>
              <w:t xml:space="preserve">    3%</w:t>
            </w:r>
          </w:p>
        </w:tc>
        <w:tc>
          <w:tcPr>
            <w:tcW w:w="992" w:type="dxa"/>
            <w:vMerge w:val="restart"/>
          </w:tcPr>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r>
              <w:rPr>
                <w:sz w:val="20"/>
                <w:szCs w:val="20"/>
              </w:rPr>
              <w:t>3,5%</w:t>
            </w:r>
          </w:p>
        </w:tc>
        <w:tc>
          <w:tcPr>
            <w:tcW w:w="1134" w:type="dxa"/>
            <w:vMerge w:val="restart"/>
          </w:tcPr>
          <w:p w:rsidR="00DA246E" w:rsidRDefault="00DA246E" w:rsidP="001D097E">
            <w:pPr>
              <w:jc w:val="center"/>
              <w:rPr>
                <w:sz w:val="20"/>
                <w:szCs w:val="20"/>
              </w:rPr>
            </w:pPr>
          </w:p>
        </w:tc>
        <w:tc>
          <w:tcPr>
            <w:tcW w:w="2268" w:type="dxa"/>
            <w:vMerge w:val="restart"/>
          </w:tcPr>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p>
          <w:p w:rsidR="00DA246E" w:rsidRDefault="00DA246E" w:rsidP="001D097E">
            <w:pPr>
              <w:jc w:val="center"/>
              <w:rPr>
                <w:sz w:val="20"/>
                <w:szCs w:val="20"/>
              </w:rPr>
            </w:pPr>
            <w:r>
              <w:rPr>
                <w:sz w:val="20"/>
                <w:szCs w:val="20"/>
              </w:rPr>
              <w:t>Ley 6053 (año 2018)</w:t>
            </w:r>
          </w:p>
          <w:p w:rsidR="00DA246E" w:rsidRPr="00C33E91" w:rsidRDefault="00DA246E" w:rsidP="001D097E">
            <w:pPr>
              <w:jc w:val="center"/>
              <w:rPr>
                <w:sz w:val="20"/>
                <w:szCs w:val="20"/>
              </w:rPr>
            </w:pPr>
            <w:r>
              <w:rPr>
                <w:sz w:val="20"/>
                <w:szCs w:val="20"/>
              </w:rPr>
              <w:t>RG.1496/2018</w:t>
            </w:r>
          </w:p>
          <w:p w:rsidR="00DA246E" w:rsidRDefault="00DA246E" w:rsidP="001D097E">
            <w:pPr>
              <w:jc w:val="center"/>
              <w:rPr>
                <w:sz w:val="20"/>
                <w:szCs w:val="20"/>
              </w:rPr>
            </w:pPr>
          </w:p>
        </w:tc>
      </w:tr>
      <w:tr w:rsidR="00DA246E" w:rsidRPr="00450EAE" w:rsidTr="00DA246E">
        <w:trPr>
          <w:trHeight w:val="2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522010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522010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almacenamiento y depósito en silos</w:t>
            </w:r>
          </w:p>
        </w:tc>
        <w:tc>
          <w:tcPr>
            <w:tcW w:w="992" w:type="dxa"/>
            <w:vMerge/>
          </w:tcPr>
          <w:p w:rsidR="00DA246E" w:rsidRDefault="00DA246E" w:rsidP="001D097E">
            <w:pPr>
              <w:jc w:val="center"/>
              <w:rPr>
                <w:sz w:val="20"/>
                <w:szCs w:val="20"/>
              </w:rPr>
            </w:pPr>
          </w:p>
        </w:tc>
        <w:tc>
          <w:tcPr>
            <w:tcW w:w="992" w:type="dxa"/>
            <w:vMerge/>
          </w:tcPr>
          <w:p w:rsidR="00DA246E" w:rsidRDefault="00DA246E" w:rsidP="001D097E">
            <w:pPr>
              <w:jc w:val="center"/>
              <w:rPr>
                <w:sz w:val="20"/>
                <w:szCs w:val="20"/>
              </w:rPr>
            </w:pPr>
          </w:p>
        </w:tc>
        <w:tc>
          <w:tcPr>
            <w:tcW w:w="1134" w:type="dxa"/>
            <w:vMerge/>
          </w:tcPr>
          <w:p w:rsidR="00DA246E" w:rsidRDefault="00DA246E" w:rsidP="001D097E">
            <w:pPr>
              <w:jc w:val="center"/>
              <w:rPr>
                <w:sz w:val="20"/>
                <w:szCs w:val="20"/>
              </w:rPr>
            </w:pPr>
          </w:p>
        </w:tc>
        <w:tc>
          <w:tcPr>
            <w:tcW w:w="2268" w:type="dxa"/>
            <w:vMerge/>
          </w:tcPr>
          <w:p w:rsidR="00DA246E" w:rsidRPr="000E47C2" w:rsidRDefault="00DA246E" w:rsidP="001D097E">
            <w:pPr>
              <w:jc w:val="center"/>
              <w:rPr>
                <w:sz w:val="20"/>
                <w:szCs w:val="20"/>
              </w:rPr>
            </w:pPr>
          </w:p>
        </w:tc>
      </w:tr>
      <w:tr w:rsidR="00DA246E" w:rsidRPr="00450EAE" w:rsidTr="00DA246E">
        <w:trPr>
          <w:trHeight w:val="1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522020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522020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almacenamiento y depósito en cámaras frigoríficas</w:t>
            </w:r>
          </w:p>
        </w:tc>
        <w:tc>
          <w:tcPr>
            <w:tcW w:w="992" w:type="dxa"/>
            <w:vMerge/>
          </w:tcPr>
          <w:p w:rsidR="00DA246E" w:rsidRDefault="00DA246E" w:rsidP="001D097E">
            <w:pPr>
              <w:jc w:val="center"/>
              <w:rPr>
                <w:sz w:val="20"/>
                <w:szCs w:val="20"/>
              </w:rPr>
            </w:pPr>
          </w:p>
        </w:tc>
        <w:tc>
          <w:tcPr>
            <w:tcW w:w="992" w:type="dxa"/>
            <w:vMerge/>
          </w:tcPr>
          <w:p w:rsidR="00DA246E" w:rsidRDefault="00DA246E" w:rsidP="001D097E">
            <w:pPr>
              <w:jc w:val="center"/>
              <w:rPr>
                <w:sz w:val="20"/>
                <w:szCs w:val="20"/>
              </w:rPr>
            </w:pPr>
          </w:p>
        </w:tc>
        <w:tc>
          <w:tcPr>
            <w:tcW w:w="1134" w:type="dxa"/>
            <w:vMerge/>
          </w:tcPr>
          <w:p w:rsidR="00DA246E" w:rsidRDefault="00DA246E" w:rsidP="001D097E">
            <w:pPr>
              <w:jc w:val="center"/>
              <w:rPr>
                <w:sz w:val="20"/>
                <w:szCs w:val="20"/>
              </w:rPr>
            </w:pPr>
          </w:p>
        </w:tc>
        <w:tc>
          <w:tcPr>
            <w:tcW w:w="2268" w:type="dxa"/>
            <w:vMerge/>
          </w:tcPr>
          <w:p w:rsidR="00DA246E" w:rsidRPr="000E47C2" w:rsidRDefault="00DA246E" w:rsidP="001D097E">
            <w:pPr>
              <w:jc w:val="center"/>
              <w:rPr>
                <w:sz w:val="20"/>
                <w:szCs w:val="20"/>
              </w:rPr>
            </w:pPr>
          </w:p>
        </w:tc>
      </w:tr>
      <w:tr w:rsidR="00DA246E" w:rsidRPr="00450EAE" w:rsidTr="00DA246E">
        <w:trPr>
          <w:trHeight w:val="1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522091</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522091</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usuarios directos de zona franca</w:t>
            </w:r>
          </w:p>
        </w:tc>
        <w:tc>
          <w:tcPr>
            <w:tcW w:w="992" w:type="dxa"/>
            <w:vMerge/>
          </w:tcPr>
          <w:p w:rsidR="00DA246E" w:rsidRDefault="00DA246E" w:rsidP="001D097E">
            <w:pPr>
              <w:jc w:val="center"/>
              <w:rPr>
                <w:sz w:val="20"/>
                <w:szCs w:val="20"/>
              </w:rPr>
            </w:pPr>
          </w:p>
        </w:tc>
        <w:tc>
          <w:tcPr>
            <w:tcW w:w="992" w:type="dxa"/>
            <w:vMerge/>
          </w:tcPr>
          <w:p w:rsidR="00DA246E" w:rsidRDefault="00DA246E" w:rsidP="001D097E">
            <w:pPr>
              <w:jc w:val="center"/>
              <w:rPr>
                <w:sz w:val="20"/>
                <w:szCs w:val="20"/>
              </w:rPr>
            </w:pPr>
          </w:p>
        </w:tc>
        <w:tc>
          <w:tcPr>
            <w:tcW w:w="1134" w:type="dxa"/>
            <w:vMerge/>
          </w:tcPr>
          <w:p w:rsidR="00DA246E" w:rsidRDefault="00DA246E" w:rsidP="001D097E">
            <w:pPr>
              <w:jc w:val="center"/>
              <w:rPr>
                <w:sz w:val="20"/>
                <w:szCs w:val="20"/>
              </w:rPr>
            </w:pPr>
          </w:p>
        </w:tc>
        <w:tc>
          <w:tcPr>
            <w:tcW w:w="2268" w:type="dxa"/>
            <w:vMerge/>
          </w:tcPr>
          <w:p w:rsidR="00DA246E" w:rsidRPr="000E47C2" w:rsidRDefault="00DA246E" w:rsidP="001D097E">
            <w:pPr>
              <w:jc w:val="center"/>
              <w:rPr>
                <w:sz w:val="20"/>
                <w:szCs w:val="20"/>
              </w:rPr>
            </w:pPr>
          </w:p>
        </w:tc>
      </w:tr>
      <w:tr w:rsidR="00DA246E" w:rsidRPr="00450EAE" w:rsidTr="00DA246E">
        <w:trPr>
          <w:trHeight w:val="1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522092</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522092</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gestión de depósitos fiscales</w:t>
            </w:r>
          </w:p>
        </w:tc>
        <w:tc>
          <w:tcPr>
            <w:tcW w:w="992" w:type="dxa"/>
            <w:vMerge/>
          </w:tcPr>
          <w:p w:rsidR="00DA246E" w:rsidRDefault="00DA246E" w:rsidP="001D097E">
            <w:pPr>
              <w:jc w:val="center"/>
              <w:rPr>
                <w:sz w:val="20"/>
                <w:szCs w:val="20"/>
              </w:rPr>
            </w:pPr>
          </w:p>
        </w:tc>
        <w:tc>
          <w:tcPr>
            <w:tcW w:w="992" w:type="dxa"/>
            <w:vMerge/>
          </w:tcPr>
          <w:p w:rsidR="00DA246E" w:rsidRDefault="00DA246E" w:rsidP="001D097E">
            <w:pPr>
              <w:jc w:val="center"/>
              <w:rPr>
                <w:sz w:val="20"/>
                <w:szCs w:val="20"/>
              </w:rPr>
            </w:pPr>
          </w:p>
        </w:tc>
        <w:tc>
          <w:tcPr>
            <w:tcW w:w="1134" w:type="dxa"/>
            <w:vMerge/>
          </w:tcPr>
          <w:p w:rsidR="00DA246E" w:rsidRDefault="00DA246E" w:rsidP="001D097E">
            <w:pPr>
              <w:jc w:val="center"/>
              <w:rPr>
                <w:sz w:val="20"/>
                <w:szCs w:val="20"/>
              </w:rPr>
            </w:pPr>
          </w:p>
        </w:tc>
        <w:tc>
          <w:tcPr>
            <w:tcW w:w="2268" w:type="dxa"/>
            <w:vMerge/>
          </w:tcPr>
          <w:p w:rsidR="00DA246E" w:rsidRPr="000E47C2" w:rsidRDefault="00DA246E" w:rsidP="001D097E">
            <w:pPr>
              <w:jc w:val="center"/>
              <w:rPr>
                <w:sz w:val="20"/>
                <w:szCs w:val="20"/>
              </w:rPr>
            </w:pPr>
          </w:p>
        </w:tc>
      </w:tr>
      <w:tr w:rsidR="00DA246E" w:rsidRPr="00450EAE" w:rsidTr="00DA246E">
        <w:trPr>
          <w:trHeight w:val="13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522099</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522099</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almacenamiento y depósito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992" w:type="dxa"/>
            <w:vMerge/>
          </w:tcPr>
          <w:p w:rsidR="00DA246E" w:rsidRDefault="00DA246E" w:rsidP="001D097E">
            <w:pPr>
              <w:jc w:val="center"/>
              <w:rPr>
                <w:sz w:val="20"/>
                <w:szCs w:val="20"/>
              </w:rPr>
            </w:pPr>
          </w:p>
        </w:tc>
        <w:tc>
          <w:tcPr>
            <w:tcW w:w="992" w:type="dxa"/>
            <w:vMerge/>
          </w:tcPr>
          <w:p w:rsidR="00DA246E" w:rsidRDefault="00DA246E" w:rsidP="001D097E">
            <w:pPr>
              <w:jc w:val="center"/>
              <w:rPr>
                <w:sz w:val="20"/>
                <w:szCs w:val="20"/>
              </w:rPr>
            </w:pPr>
          </w:p>
        </w:tc>
        <w:tc>
          <w:tcPr>
            <w:tcW w:w="1134" w:type="dxa"/>
            <w:vMerge/>
          </w:tcPr>
          <w:p w:rsidR="00DA246E" w:rsidRDefault="00DA246E" w:rsidP="001D097E">
            <w:pPr>
              <w:jc w:val="center"/>
              <w:rPr>
                <w:sz w:val="20"/>
                <w:szCs w:val="20"/>
              </w:rPr>
            </w:pPr>
          </w:p>
        </w:tc>
        <w:tc>
          <w:tcPr>
            <w:tcW w:w="2268" w:type="dxa"/>
            <w:vMerge/>
          </w:tcPr>
          <w:p w:rsidR="00DA246E" w:rsidRPr="000E47C2" w:rsidRDefault="00DA246E" w:rsidP="001D097E">
            <w:pPr>
              <w:jc w:val="center"/>
              <w:rPr>
                <w:sz w:val="20"/>
                <w:szCs w:val="20"/>
              </w:rPr>
            </w:pPr>
          </w:p>
        </w:tc>
      </w:tr>
      <w:tr w:rsidR="00DA246E" w:rsidRPr="007939E7" w:rsidTr="00DA246E">
        <w:trPr>
          <w:trHeight w:val="23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523032</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523032</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operadores logísticos seguros (OLS) en el ámbito aduanero</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23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523039</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523039</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operadores logísticos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23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523090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523090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gestión y logística para el transporte de mercaderías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278"/>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530010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530010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 de correo postal</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277"/>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530090</w:t>
            </w:r>
          </w:p>
        </w:tc>
        <w:tc>
          <w:tcPr>
            <w:tcW w:w="1134" w:type="dxa"/>
          </w:tcPr>
          <w:p w:rsidR="00DA246E" w:rsidRPr="00176543" w:rsidRDefault="00DA246E" w:rsidP="001D097E">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530090</w:t>
            </w:r>
          </w:p>
        </w:tc>
        <w:tc>
          <w:tcPr>
            <w:tcW w:w="3827" w:type="dxa"/>
          </w:tcPr>
          <w:p w:rsidR="00DA246E" w:rsidRPr="00176543" w:rsidRDefault="00DA246E" w:rsidP="001D097E">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mensajerías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56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801010</w:t>
            </w:r>
          </w:p>
        </w:tc>
        <w:tc>
          <w:tcPr>
            <w:tcW w:w="1134" w:type="dxa"/>
          </w:tcPr>
          <w:p w:rsidR="00DA246E" w:rsidRPr="004433EB" w:rsidRDefault="00DA246E" w:rsidP="001D097E">
            <w:pPr>
              <w:pStyle w:val="tablacentrado8"/>
              <w:ind w:left="105" w:right="105"/>
              <w:rPr>
                <w:rFonts w:ascii="Comic Sans MS" w:hAnsi="Comic Sans MS" w:cs="Calibri"/>
                <w:color w:val="000000"/>
                <w:sz w:val="16"/>
                <w:szCs w:val="16"/>
              </w:rPr>
            </w:pPr>
            <w:r w:rsidRPr="004433EB">
              <w:rPr>
                <w:rFonts w:ascii="Comic Sans MS" w:hAnsi="Comic Sans MS" w:cs="Calibri"/>
                <w:color w:val="000000"/>
                <w:sz w:val="16"/>
                <w:szCs w:val="16"/>
              </w:rPr>
              <w:t>801010</w:t>
            </w:r>
          </w:p>
        </w:tc>
        <w:tc>
          <w:tcPr>
            <w:tcW w:w="3827" w:type="dxa"/>
          </w:tcPr>
          <w:p w:rsidR="00DA246E" w:rsidRPr="004433EB" w:rsidRDefault="00DA246E" w:rsidP="001D097E">
            <w:pPr>
              <w:pStyle w:val="tablaizquierda8"/>
              <w:spacing w:before="0" w:beforeAutospacing="0" w:after="0" w:afterAutospacing="0"/>
              <w:ind w:left="105" w:right="105"/>
              <w:rPr>
                <w:rFonts w:ascii="Comic Sans MS" w:hAnsi="Comic Sans MS" w:cs="Calibri"/>
                <w:color w:val="000000"/>
                <w:sz w:val="16"/>
                <w:szCs w:val="16"/>
              </w:rPr>
            </w:pPr>
            <w:r w:rsidRPr="004433EB">
              <w:rPr>
                <w:rFonts w:ascii="Comic Sans MS" w:hAnsi="Comic Sans MS" w:cs="Calibri"/>
                <w:color w:val="000000"/>
                <w:sz w:val="16"/>
                <w:szCs w:val="16"/>
              </w:rPr>
              <w:t>Servicios de transporte de caudales y objetos de valor</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46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lastRenderedPageBreak/>
              <w:t>381100</w:t>
            </w:r>
          </w:p>
        </w:tc>
        <w:tc>
          <w:tcPr>
            <w:tcW w:w="1134" w:type="dxa"/>
          </w:tcPr>
          <w:p w:rsidR="00DA246E" w:rsidRPr="004433EB" w:rsidRDefault="00DA246E" w:rsidP="001D097E">
            <w:pPr>
              <w:ind w:left="105" w:right="105"/>
              <w:jc w:val="center"/>
              <w:rPr>
                <w:rFonts w:ascii="Comic Sans MS" w:hAnsi="Comic Sans MS" w:cs="Calibri"/>
                <w:color w:val="000000"/>
                <w:sz w:val="16"/>
                <w:szCs w:val="16"/>
              </w:rPr>
            </w:pPr>
            <w:r w:rsidRPr="001838DB">
              <w:rPr>
                <w:rFonts w:ascii="Comic Sans MS" w:hAnsi="Comic Sans MS" w:cs="Calibri"/>
                <w:color w:val="000000"/>
                <w:sz w:val="16"/>
                <w:szCs w:val="16"/>
              </w:rPr>
              <w:t>381100</w:t>
            </w:r>
          </w:p>
          <w:p w:rsidR="00DA246E" w:rsidRPr="001838DB" w:rsidRDefault="00DA246E" w:rsidP="001D097E">
            <w:pPr>
              <w:ind w:left="105" w:right="105"/>
              <w:jc w:val="center"/>
              <w:rPr>
                <w:rFonts w:ascii="Comic Sans MS" w:hAnsi="Comic Sans MS" w:cs="Calibri"/>
                <w:color w:val="000000"/>
                <w:sz w:val="16"/>
                <w:szCs w:val="16"/>
              </w:rPr>
            </w:pPr>
          </w:p>
        </w:tc>
        <w:tc>
          <w:tcPr>
            <w:tcW w:w="3827" w:type="dxa"/>
          </w:tcPr>
          <w:p w:rsidR="00DA246E" w:rsidRPr="001838DB" w:rsidRDefault="00DA246E" w:rsidP="001D097E">
            <w:pPr>
              <w:ind w:left="105" w:right="105"/>
              <w:rPr>
                <w:rFonts w:ascii="Comic Sans MS" w:hAnsi="Comic Sans MS" w:cs="Calibri"/>
                <w:color w:val="000000"/>
                <w:sz w:val="16"/>
                <w:szCs w:val="16"/>
              </w:rPr>
            </w:pPr>
            <w:r w:rsidRPr="001838DB">
              <w:rPr>
                <w:rFonts w:ascii="Comic Sans MS" w:hAnsi="Comic Sans MS" w:cs="Calibri"/>
                <w:color w:val="000000"/>
                <w:sz w:val="16"/>
                <w:szCs w:val="16"/>
              </w:rPr>
              <w:t>Recolección, transporte, tratamiento y disposición final de residuos no peligrosos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r w:rsidR="00DA246E" w:rsidRPr="007939E7" w:rsidTr="00DA246E">
        <w:trPr>
          <w:trHeight w:val="465"/>
        </w:trPr>
        <w:tc>
          <w:tcPr>
            <w:tcW w:w="1101" w:type="dxa"/>
          </w:tcPr>
          <w:p w:rsidR="00DA246E" w:rsidRPr="00F41FE0" w:rsidRDefault="00DA246E" w:rsidP="001D097E">
            <w:pPr>
              <w:jc w:val="center"/>
              <w:rPr>
                <w:rFonts w:ascii="Comic Sans MS" w:hAnsi="Comic Sans MS"/>
                <w:sz w:val="16"/>
                <w:szCs w:val="16"/>
              </w:rPr>
            </w:pPr>
            <w:r w:rsidRPr="00F41FE0">
              <w:rPr>
                <w:rFonts w:ascii="Comic Sans MS" w:hAnsi="Comic Sans MS"/>
                <w:sz w:val="16"/>
                <w:szCs w:val="16"/>
              </w:rPr>
              <w:t>381200</w:t>
            </w:r>
          </w:p>
        </w:tc>
        <w:tc>
          <w:tcPr>
            <w:tcW w:w="1134" w:type="dxa"/>
          </w:tcPr>
          <w:p w:rsidR="00DA246E" w:rsidRPr="006B1E78" w:rsidRDefault="00DA246E" w:rsidP="001D097E">
            <w:pPr>
              <w:pStyle w:val="tablacentrado8"/>
              <w:ind w:left="105" w:right="105"/>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3827" w:type="dxa"/>
          </w:tcPr>
          <w:p w:rsidR="00DA246E" w:rsidRPr="006B1E78" w:rsidRDefault="00DA246E" w:rsidP="001D097E">
            <w:pPr>
              <w:pStyle w:val="tablaizquierda8"/>
              <w:spacing w:before="0" w:beforeAutospacing="0" w:after="0" w:afterAutospacing="0"/>
              <w:ind w:left="105" w:right="105"/>
              <w:rPr>
                <w:rFonts w:ascii="Comic Sans MS" w:hAnsi="Comic Sans MS" w:cs="Calibri"/>
                <w:color w:val="000000"/>
                <w:sz w:val="16"/>
                <w:szCs w:val="16"/>
              </w:rPr>
            </w:pPr>
            <w:r w:rsidRPr="006B1E78">
              <w:rPr>
                <w:rFonts w:ascii="Comic Sans MS" w:hAnsi="Comic Sans MS" w:cs="Calibri"/>
                <w:color w:val="000000"/>
                <w:sz w:val="16"/>
                <w:szCs w:val="16"/>
              </w:rPr>
              <w:t>Recolección, transporte, tratamiento y disposición final de residuos peligrosos</w:t>
            </w:r>
          </w:p>
        </w:tc>
        <w:tc>
          <w:tcPr>
            <w:tcW w:w="992" w:type="dxa"/>
            <w:vMerge/>
          </w:tcPr>
          <w:p w:rsidR="00DA246E" w:rsidRPr="007939E7" w:rsidRDefault="00DA246E" w:rsidP="001D097E">
            <w:pPr>
              <w:jc w:val="center"/>
              <w:rPr>
                <w:sz w:val="20"/>
                <w:szCs w:val="20"/>
              </w:rPr>
            </w:pPr>
          </w:p>
        </w:tc>
        <w:tc>
          <w:tcPr>
            <w:tcW w:w="992" w:type="dxa"/>
            <w:vMerge/>
          </w:tcPr>
          <w:p w:rsidR="00DA246E" w:rsidRPr="007939E7" w:rsidRDefault="00DA246E" w:rsidP="001D097E">
            <w:pPr>
              <w:jc w:val="center"/>
              <w:rPr>
                <w:sz w:val="20"/>
                <w:szCs w:val="20"/>
              </w:rPr>
            </w:pPr>
          </w:p>
        </w:tc>
        <w:tc>
          <w:tcPr>
            <w:tcW w:w="1134" w:type="dxa"/>
            <w:vMerge/>
          </w:tcPr>
          <w:p w:rsidR="00DA246E" w:rsidRPr="007939E7" w:rsidRDefault="00DA246E" w:rsidP="001D097E">
            <w:pPr>
              <w:jc w:val="center"/>
              <w:rPr>
                <w:sz w:val="20"/>
                <w:szCs w:val="20"/>
              </w:rPr>
            </w:pPr>
          </w:p>
        </w:tc>
        <w:tc>
          <w:tcPr>
            <w:tcW w:w="2268" w:type="dxa"/>
            <w:vMerge/>
          </w:tcPr>
          <w:p w:rsidR="00DA246E" w:rsidRPr="007939E7" w:rsidRDefault="00DA246E" w:rsidP="001D097E">
            <w:pPr>
              <w:rPr>
                <w:sz w:val="20"/>
                <w:szCs w:val="20"/>
              </w:rPr>
            </w:pPr>
          </w:p>
        </w:tc>
      </w:tr>
    </w:tbl>
    <w:p w:rsidR="00DA246E" w:rsidRDefault="00DA246E" w:rsidP="00DA246E"/>
    <w:p w:rsidR="00DA246E" w:rsidRPr="00DA246E" w:rsidRDefault="00DA246E" w:rsidP="00DA246E">
      <w:pPr>
        <w:pStyle w:val="Default"/>
        <w:jc w:val="both"/>
        <w:rPr>
          <w:rFonts w:asciiTheme="minorHAnsi" w:hAnsiTheme="minorHAnsi" w:cstheme="minorHAnsi"/>
          <w:b/>
          <w:bCs/>
          <w:sz w:val="22"/>
          <w:szCs w:val="22"/>
        </w:rPr>
      </w:pPr>
      <w:r w:rsidRPr="00DA246E">
        <w:rPr>
          <w:rFonts w:asciiTheme="minorHAnsi" w:hAnsiTheme="minorHAnsi" w:cstheme="minorHAnsi"/>
          <w:sz w:val="22"/>
          <w:szCs w:val="22"/>
        </w:rPr>
        <w:t>(</w:t>
      </w:r>
      <w:proofErr w:type="gramStart"/>
      <w:r w:rsidRPr="00DA246E">
        <w:rPr>
          <w:rFonts w:asciiTheme="minorHAnsi" w:hAnsiTheme="minorHAnsi" w:cstheme="minorHAnsi"/>
          <w:sz w:val="22"/>
          <w:szCs w:val="22"/>
        </w:rPr>
        <w:t>*)</w:t>
      </w:r>
      <w:r w:rsidRPr="00DA246E">
        <w:rPr>
          <w:rFonts w:asciiTheme="minorHAnsi" w:hAnsiTheme="minorHAnsi" w:cstheme="minorHAnsi"/>
          <w:b/>
          <w:bCs/>
          <w:sz w:val="22"/>
          <w:szCs w:val="22"/>
        </w:rPr>
        <w:t>ARTÍCULO</w:t>
      </w:r>
      <w:proofErr w:type="gramEnd"/>
      <w:r w:rsidRPr="00DA246E">
        <w:rPr>
          <w:rFonts w:asciiTheme="minorHAnsi" w:hAnsiTheme="minorHAnsi" w:cstheme="minorHAnsi"/>
          <w:b/>
          <w:bCs/>
          <w:sz w:val="22"/>
          <w:szCs w:val="22"/>
        </w:rPr>
        <w:t xml:space="preserve"> 1.- “De conformidad con lo dispuesto en el Artículo 269 del Código Fiscal, Ley 5701 y sus modificatorias, </w:t>
      </w:r>
      <w:proofErr w:type="spellStart"/>
      <w:r w:rsidRPr="00DA246E">
        <w:rPr>
          <w:rFonts w:asciiTheme="minorHAnsi" w:hAnsiTheme="minorHAnsi" w:cstheme="minorHAnsi"/>
          <w:b/>
          <w:bCs/>
          <w:sz w:val="22"/>
          <w:szCs w:val="22"/>
        </w:rPr>
        <w:t>fíjase</w:t>
      </w:r>
      <w:proofErr w:type="spellEnd"/>
      <w:r w:rsidRPr="00DA246E">
        <w:rPr>
          <w:rFonts w:asciiTheme="minorHAnsi" w:hAnsiTheme="minorHAnsi" w:cstheme="minorHAnsi"/>
          <w:b/>
          <w:bCs/>
          <w:sz w:val="22"/>
          <w:szCs w:val="22"/>
        </w:rPr>
        <w:t xml:space="preserve"> en el tres por ciento (3%) la alícuota general del impuesto sobre los Ingresos Brutos que se aplicará a todas las actividades, con excepción de las que se encuentren alcanzadas por alícuotas especiales establecidas en la presente o se encuentren comprendidas en beneficios dé exención establecidos en el Código Fiscal o leyes especiales…” </w:t>
      </w:r>
    </w:p>
    <w:p w:rsidR="00DA246E" w:rsidRPr="00DA246E" w:rsidRDefault="00DA246E" w:rsidP="00DA246E">
      <w:pPr>
        <w:pStyle w:val="Default"/>
        <w:jc w:val="both"/>
        <w:rPr>
          <w:rFonts w:asciiTheme="minorHAnsi" w:hAnsiTheme="minorHAnsi" w:cstheme="minorHAnsi"/>
          <w:b/>
          <w:bCs/>
          <w:sz w:val="22"/>
          <w:szCs w:val="22"/>
        </w:rPr>
      </w:pPr>
    </w:p>
    <w:p w:rsidR="00DA246E" w:rsidRPr="00DA246E" w:rsidRDefault="00DA246E" w:rsidP="00DA246E">
      <w:pPr>
        <w:pStyle w:val="Default"/>
        <w:jc w:val="both"/>
        <w:rPr>
          <w:rFonts w:asciiTheme="minorHAnsi" w:hAnsiTheme="minorHAnsi" w:cstheme="minorHAnsi"/>
          <w:b/>
          <w:bCs/>
          <w:sz w:val="22"/>
          <w:szCs w:val="22"/>
        </w:rPr>
      </w:pPr>
      <w:r w:rsidRPr="00DA246E">
        <w:rPr>
          <w:rFonts w:asciiTheme="minorHAnsi" w:hAnsiTheme="minorHAnsi" w:cstheme="minorHAnsi"/>
          <w:b/>
          <w:bCs/>
          <w:sz w:val="22"/>
          <w:szCs w:val="22"/>
        </w:rPr>
        <w:t xml:space="preserve">(**)ARTÍCULO 1 “…En el caso de contribuyentes cuya sumatoria de bases imponibles declaradas o determinadas para el ejercicio fiscal anterior conforme Artículos 246 a 267 del Código Fiscal (L.5791 y sus </w:t>
      </w:r>
      <w:proofErr w:type="spellStart"/>
      <w:r w:rsidRPr="00DA246E">
        <w:rPr>
          <w:rFonts w:asciiTheme="minorHAnsi" w:hAnsiTheme="minorHAnsi" w:cstheme="minorHAnsi"/>
          <w:b/>
          <w:bCs/>
          <w:sz w:val="22"/>
          <w:szCs w:val="22"/>
        </w:rPr>
        <w:t>modif</w:t>
      </w:r>
      <w:proofErr w:type="spellEnd"/>
      <w:r w:rsidRPr="00DA246E">
        <w:rPr>
          <w:rFonts w:asciiTheme="minorHAnsi" w:hAnsiTheme="minorHAnsi" w:cstheme="minorHAnsi"/>
          <w:b/>
          <w:bCs/>
          <w:sz w:val="22"/>
          <w:szCs w:val="22"/>
        </w:rPr>
        <w:t xml:space="preserve">.), atribuibles a la totalidad de las actividades desarrolladas, cualquiera sea la jurisdicción en que se lleven a cabo las mismas, supere la suma de pesos sesenta millones ($ 60.000.000), la alícuota general por la que tributarán el impuesto sobre los Ingresos Brutos será del tres coma cinco por ciento (3,5%). </w:t>
      </w:r>
    </w:p>
    <w:p w:rsidR="00DA246E" w:rsidRPr="00DA246E" w:rsidRDefault="00DA246E" w:rsidP="00DA246E">
      <w:pPr>
        <w:pStyle w:val="Default"/>
        <w:jc w:val="both"/>
        <w:rPr>
          <w:rFonts w:asciiTheme="minorHAnsi" w:hAnsiTheme="minorHAnsi" w:cstheme="minorHAnsi"/>
          <w:b/>
          <w:bCs/>
          <w:sz w:val="22"/>
          <w:szCs w:val="22"/>
        </w:rPr>
      </w:pPr>
    </w:p>
    <w:p w:rsidR="00DA246E" w:rsidRPr="00DA246E" w:rsidRDefault="00DA246E" w:rsidP="00DA246E">
      <w:pPr>
        <w:pStyle w:val="Default"/>
        <w:jc w:val="both"/>
        <w:rPr>
          <w:rFonts w:asciiTheme="minorHAnsi" w:hAnsiTheme="minorHAnsi" w:cstheme="minorHAnsi"/>
          <w:sz w:val="22"/>
          <w:szCs w:val="22"/>
        </w:rPr>
      </w:pPr>
      <w:r w:rsidRPr="00DA246E">
        <w:rPr>
          <w:rFonts w:asciiTheme="minorHAnsi" w:hAnsiTheme="minorHAnsi" w:cstheme="minorHAnsi"/>
          <w:b/>
          <w:bCs/>
          <w:sz w:val="22"/>
          <w:szCs w:val="22"/>
        </w:rPr>
        <w:t xml:space="preserve">Cuando se trate de contribuyentes que hayan iniciado actividades durante el ejercicio fiscal en curso, quedarán comprendidos en el tratamiento del párrafo anterior, siempre que la sumatoria de bases imponibles declaradas o determinadas por la Dirección Provincial de Rentas durante los dos (2) primeros meses a partir del inicio de las mismas, superen la suma de pesos once millones ($ 11.000.000). Quedan exceptuados del tratamiento establecido en los párrafos anteriores los ingresos obtenidos por contribuyentes que desarrollen las actividades de servicios de provisión de agua potable, desagües pluviales, así como aquellos que presten servicios de generación y distribución de electricidad, quienes por el ejercicio de estas actividades tributarán a la alícuota establecida para cada una de ellas en esta ley” </w:t>
      </w:r>
    </w:p>
    <w:p w:rsidR="00DA246E" w:rsidRPr="00DA246E" w:rsidRDefault="00DA246E" w:rsidP="00DA246E">
      <w:pPr>
        <w:pStyle w:val="Default"/>
        <w:jc w:val="both"/>
        <w:rPr>
          <w:rFonts w:asciiTheme="minorHAnsi" w:hAnsiTheme="minorHAnsi" w:cstheme="minorHAnsi"/>
          <w:sz w:val="22"/>
          <w:szCs w:val="22"/>
        </w:rPr>
      </w:pPr>
    </w:p>
    <w:p w:rsidR="00DA246E" w:rsidRPr="00DA246E" w:rsidRDefault="00DA246E" w:rsidP="00DA246E">
      <w:pPr>
        <w:pStyle w:val="Default"/>
        <w:jc w:val="both"/>
        <w:rPr>
          <w:rFonts w:asciiTheme="minorHAnsi" w:hAnsiTheme="minorHAnsi" w:cstheme="minorHAnsi"/>
          <w:b/>
          <w:bCs/>
          <w:sz w:val="22"/>
          <w:szCs w:val="22"/>
        </w:rPr>
      </w:pPr>
    </w:p>
    <w:p w:rsidR="00DA246E" w:rsidRPr="00DA246E" w:rsidRDefault="00DA246E" w:rsidP="00DA246E">
      <w:pPr>
        <w:pStyle w:val="Default"/>
        <w:jc w:val="both"/>
        <w:rPr>
          <w:rFonts w:asciiTheme="minorHAnsi" w:hAnsiTheme="minorHAnsi" w:cstheme="minorHAnsi"/>
          <w:b/>
          <w:bCs/>
          <w:sz w:val="22"/>
          <w:szCs w:val="22"/>
        </w:rPr>
      </w:pPr>
      <w:r w:rsidRPr="00DA246E">
        <w:rPr>
          <w:rFonts w:asciiTheme="minorHAnsi" w:hAnsiTheme="minorHAnsi" w:cstheme="minorHAnsi"/>
          <w:b/>
          <w:bCs/>
          <w:sz w:val="22"/>
          <w:szCs w:val="22"/>
          <w:u w:val="single"/>
        </w:rPr>
        <w:t>Beneficios</w:t>
      </w:r>
      <w:r w:rsidRPr="00DA246E">
        <w:rPr>
          <w:rFonts w:asciiTheme="minorHAnsi" w:hAnsiTheme="minorHAnsi" w:cstheme="minorHAnsi"/>
          <w:b/>
          <w:bCs/>
          <w:sz w:val="22"/>
          <w:szCs w:val="22"/>
        </w:rPr>
        <w:t xml:space="preserve">: Para micro y pequeñas empresas </w:t>
      </w:r>
      <w:r w:rsidRPr="00DA246E">
        <w:rPr>
          <w:rFonts w:asciiTheme="minorHAnsi" w:hAnsiTheme="minorHAnsi" w:cstheme="minorHAnsi"/>
          <w:b/>
          <w:bCs/>
          <w:sz w:val="22"/>
          <w:szCs w:val="22"/>
          <w:lang w:val="es-ES_tradnl"/>
        </w:rPr>
        <w:t>del régimen local y de Convenio Multilateral con sede en la Provincia:</w:t>
      </w:r>
    </w:p>
    <w:p w:rsidR="00DA246E" w:rsidRPr="00DA246E" w:rsidRDefault="00DA246E" w:rsidP="00DA246E">
      <w:pPr>
        <w:pStyle w:val="Default"/>
        <w:jc w:val="both"/>
        <w:rPr>
          <w:rFonts w:asciiTheme="minorHAnsi" w:hAnsiTheme="minorHAnsi" w:cstheme="minorHAnsi"/>
          <w:b/>
          <w:bCs/>
          <w:sz w:val="22"/>
          <w:szCs w:val="22"/>
        </w:rPr>
      </w:pPr>
    </w:p>
    <w:p w:rsidR="00DA246E" w:rsidRPr="00DA246E" w:rsidRDefault="00DA246E" w:rsidP="00DA246E">
      <w:pPr>
        <w:pStyle w:val="Default"/>
        <w:jc w:val="both"/>
        <w:rPr>
          <w:rFonts w:asciiTheme="minorHAnsi" w:hAnsiTheme="minorHAnsi" w:cstheme="minorHAnsi"/>
          <w:b/>
          <w:bCs/>
          <w:sz w:val="22"/>
          <w:szCs w:val="22"/>
          <w:lang w:val="es-ES_tradnl"/>
        </w:rPr>
      </w:pPr>
      <w:r w:rsidRPr="00DA246E">
        <w:rPr>
          <w:rFonts w:asciiTheme="minorHAnsi" w:hAnsiTheme="minorHAnsi" w:cstheme="minorHAnsi"/>
          <w:b/>
          <w:bCs/>
          <w:sz w:val="22"/>
          <w:szCs w:val="22"/>
          <w:lang w:val="es-ES_tradnl"/>
        </w:rPr>
        <w:t xml:space="preserve">Mediante la Resolución General 1446/2016 la Dirección Provincial de Rentas de Jujuy reglamenta el beneficio  contenido en el artículo 287 del Código Fiscal Ley 5791, que autoriza a dicha Dirección a acordar, con carácter general, bonificaciones de hasta un diez por ciento (10%) del impuesto sobre los ingresos brutos a los contribuyentes que, habiendo obtenido ingresos gravados en la Provincia de Jujuy durante al menos dos períodos fiscales completos anteriores a aquel en el que se otorgue el beneficio, cumplan las condiciones que establece la nueva norma que nos ocupa.- </w:t>
      </w:r>
    </w:p>
    <w:p w:rsidR="00DA246E" w:rsidRPr="00DA246E" w:rsidRDefault="00DA246E" w:rsidP="00DA246E">
      <w:pPr>
        <w:pStyle w:val="Default"/>
        <w:jc w:val="both"/>
        <w:rPr>
          <w:rFonts w:asciiTheme="minorHAnsi" w:hAnsiTheme="minorHAnsi" w:cstheme="minorHAnsi"/>
          <w:b/>
          <w:bCs/>
          <w:sz w:val="22"/>
          <w:szCs w:val="22"/>
          <w:lang w:val="es-ES_tradnl"/>
        </w:rPr>
      </w:pPr>
    </w:p>
    <w:p w:rsidR="00DA246E" w:rsidRPr="00DA246E" w:rsidRDefault="00DA246E" w:rsidP="00DA246E">
      <w:pPr>
        <w:pStyle w:val="Default"/>
        <w:jc w:val="both"/>
        <w:rPr>
          <w:rFonts w:asciiTheme="minorHAnsi" w:hAnsiTheme="minorHAnsi" w:cstheme="minorHAnsi"/>
          <w:b/>
          <w:bCs/>
          <w:sz w:val="22"/>
          <w:szCs w:val="22"/>
          <w:lang w:val="es-ES_tradnl"/>
        </w:rPr>
      </w:pPr>
      <w:r w:rsidRPr="00DA246E">
        <w:rPr>
          <w:rFonts w:asciiTheme="minorHAnsi" w:hAnsiTheme="minorHAnsi" w:cstheme="minorHAnsi"/>
          <w:b/>
          <w:bCs/>
          <w:sz w:val="22"/>
          <w:szCs w:val="22"/>
          <w:lang w:val="es-ES_tradnl"/>
        </w:rPr>
        <w:t xml:space="preserve">En dichas condiciones el organismo limita el beneficio a las micro y pequeñas empresas inscriptas en el impuesto sobre los ingresos brutos del régimen local y de Convenio Multilateral con sede en la Provincia de Jujuy (definidas en el anexo I con los valores </w:t>
      </w:r>
      <w:r w:rsidRPr="00DA246E">
        <w:rPr>
          <w:rFonts w:asciiTheme="minorHAnsi" w:hAnsiTheme="minorHAnsi" w:cstheme="minorHAnsi"/>
          <w:b/>
          <w:bCs/>
          <w:sz w:val="22"/>
          <w:szCs w:val="22"/>
          <w:lang w:val="es-ES_tradnl"/>
        </w:rPr>
        <w:lastRenderedPageBreak/>
        <w:t xml:space="preserve">actuales de ingresos fijados a nivel </w:t>
      </w:r>
      <w:proofErr w:type="gramStart"/>
      <w:r w:rsidRPr="00DA246E">
        <w:rPr>
          <w:rFonts w:asciiTheme="minorHAnsi" w:hAnsiTheme="minorHAnsi" w:cstheme="minorHAnsi"/>
          <w:b/>
          <w:bCs/>
          <w:sz w:val="22"/>
          <w:szCs w:val="22"/>
          <w:lang w:val="es-ES_tradnl"/>
        </w:rPr>
        <w:t>nacional,  pero</w:t>
      </w:r>
      <w:proofErr w:type="gramEnd"/>
      <w:r w:rsidRPr="00DA246E">
        <w:rPr>
          <w:rFonts w:asciiTheme="minorHAnsi" w:hAnsiTheme="minorHAnsi" w:cstheme="minorHAnsi"/>
          <w:b/>
          <w:bCs/>
          <w:sz w:val="22"/>
          <w:szCs w:val="22"/>
          <w:lang w:val="es-ES_tradnl"/>
        </w:rPr>
        <w:t xml:space="preserve"> en este caso según el total de ingresos brutos gravados de los últimos doce anticipos mensuales exigibles inmediatos anteriores a la presentación de la solicitud).-</w:t>
      </w:r>
    </w:p>
    <w:p w:rsidR="00DA246E" w:rsidRPr="00DA246E" w:rsidRDefault="00DA246E" w:rsidP="00DA246E">
      <w:pPr>
        <w:pStyle w:val="Default"/>
        <w:jc w:val="both"/>
        <w:rPr>
          <w:rFonts w:asciiTheme="minorHAnsi" w:hAnsiTheme="minorHAnsi" w:cstheme="minorHAnsi"/>
          <w:b/>
          <w:bCs/>
          <w:sz w:val="22"/>
          <w:szCs w:val="22"/>
          <w:lang w:val="es-ES_tradnl"/>
        </w:rPr>
      </w:pPr>
    </w:p>
    <w:p w:rsidR="00DA246E" w:rsidRPr="00DA246E" w:rsidRDefault="00DA246E" w:rsidP="00DA246E">
      <w:pPr>
        <w:pStyle w:val="Default"/>
        <w:jc w:val="both"/>
        <w:rPr>
          <w:rFonts w:asciiTheme="minorHAnsi" w:hAnsiTheme="minorHAnsi" w:cstheme="minorHAnsi"/>
          <w:b/>
          <w:bCs/>
          <w:sz w:val="22"/>
          <w:szCs w:val="22"/>
          <w:lang w:val="es-ES_tradnl"/>
        </w:rPr>
      </w:pPr>
      <w:r w:rsidRPr="00DA246E">
        <w:rPr>
          <w:rFonts w:asciiTheme="minorHAnsi" w:hAnsiTheme="minorHAnsi" w:cstheme="minorHAnsi"/>
          <w:b/>
          <w:bCs/>
          <w:sz w:val="22"/>
          <w:szCs w:val="22"/>
          <w:lang w:val="es-ES_tradnl"/>
        </w:rPr>
        <w:t>Es importante destacar que el otorgamiento del nuevo beneficio se debe solicitar.</w:t>
      </w:r>
    </w:p>
    <w:p w:rsidR="00DA246E" w:rsidRPr="0041140A" w:rsidRDefault="00DA246E" w:rsidP="00DA246E">
      <w:pPr>
        <w:pStyle w:val="Default"/>
        <w:jc w:val="both"/>
        <w:rPr>
          <w:rFonts w:ascii="Comic Sans MS" w:hAnsi="Comic Sans MS"/>
          <w:b/>
          <w:bCs/>
          <w:sz w:val="20"/>
          <w:szCs w:val="20"/>
          <w:lang w:val="es-AR"/>
        </w:rPr>
      </w:pPr>
    </w:p>
    <w:p w:rsidR="00DA246E" w:rsidRPr="0096058C" w:rsidRDefault="00DA246E" w:rsidP="00DA246E">
      <w:pPr>
        <w:pStyle w:val="Default"/>
        <w:jc w:val="both"/>
        <w:rPr>
          <w:rFonts w:ascii="Comic Sans MS" w:hAnsi="Comic Sans MS"/>
          <w:sz w:val="20"/>
          <w:szCs w:val="20"/>
        </w:rPr>
      </w:pPr>
      <w:r>
        <w:rPr>
          <w:rFonts w:ascii="Comic Sans MS" w:hAnsi="Comic Sans MS"/>
          <w:b/>
          <w:bCs/>
          <w:sz w:val="20"/>
          <w:szCs w:val="20"/>
        </w:rPr>
        <w:t xml:space="preserve"> </w:t>
      </w:r>
    </w:p>
    <w:p w:rsidR="009F1341" w:rsidRPr="009F1341" w:rsidRDefault="009F1341" w:rsidP="009F1341">
      <w:pPr>
        <w:rPr>
          <w:rFonts w:ascii="Arial" w:hAnsi="Arial" w:cs="Arial"/>
          <w:i/>
          <w:sz w:val="24"/>
          <w:szCs w:val="24"/>
          <w:u w:val="single"/>
        </w:rPr>
      </w:pPr>
    </w:p>
    <w:sectPr w:rsidR="009F1341" w:rsidRPr="009F1341" w:rsidSect="003B62E5">
      <w:headerReference w:type="default" r:id="rId7"/>
      <w:pgSz w:w="11907" w:h="16840" w:code="9"/>
      <w:pgMar w:top="3232" w:right="1417" w:bottom="1463"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Arial"/>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84810"/>
    <w:rsid w:val="000A037A"/>
    <w:rsid w:val="00103D11"/>
    <w:rsid w:val="001051DB"/>
    <w:rsid w:val="001110B3"/>
    <w:rsid w:val="001615CE"/>
    <w:rsid w:val="00194AEE"/>
    <w:rsid w:val="001F255C"/>
    <w:rsid w:val="002C3828"/>
    <w:rsid w:val="002E0225"/>
    <w:rsid w:val="00310F7E"/>
    <w:rsid w:val="003929A9"/>
    <w:rsid w:val="003A07E6"/>
    <w:rsid w:val="003A115E"/>
    <w:rsid w:val="003B62E5"/>
    <w:rsid w:val="003D2043"/>
    <w:rsid w:val="003E5105"/>
    <w:rsid w:val="00425FF7"/>
    <w:rsid w:val="00430745"/>
    <w:rsid w:val="004811C1"/>
    <w:rsid w:val="0048594D"/>
    <w:rsid w:val="004A6B4B"/>
    <w:rsid w:val="00543CF6"/>
    <w:rsid w:val="00580660"/>
    <w:rsid w:val="00591F7A"/>
    <w:rsid w:val="005E111D"/>
    <w:rsid w:val="00606B7E"/>
    <w:rsid w:val="006307C1"/>
    <w:rsid w:val="00657964"/>
    <w:rsid w:val="00682765"/>
    <w:rsid w:val="00690C2D"/>
    <w:rsid w:val="006955E3"/>
    <w:rsid w:val="0069737F"/>
    <w:rsid w:val="006D7B9C"/>
    <w:rsid w:val="007161A5"/>
    <w:rsid w:val="007C7168"/>
    <w:rsid w:val="007E7821"/>
    <w:rsid w:val="007F6012"/>
    <w:rsid w:val="00822470"/>
    <w:rsid w:val="0083335D"/>
    <w:rsid w:val="00834D33"/>
    <w:rsid w:val="00897A05"/>
    <w:rsid w:val="008A51DC"/>
    <w:rsid w:val="008E4875"/>
    <w:rsid w:val="008F0A1B"/>
    <w:rsid w:val="00901959"/>
    <w:rsid w:val="00936424"/>
    <w:rsid w:val="00966E72"/>
    <w:rsid w:val="00987644"/>
    <w:rsid w:val="00991E2F"/>
    <w:rsid w:val="009E458A"/>
    <w:rsid w:val="009E5FFB"/>
    <w:rsid w:val="009F1341"/>
    <w:rsid w:val="00A011A0"/>
    <w:rsid w:val="00A55517"/>
    <w:rsid w:val="00A64D45"/>
    <w:rsid w:val="00A676C5"/>
    <w:rsid w:val="00A75DBC"/>
    <w:rsid w:val="00A9675F"/>
    <w:rsid w:val="00AD7AD6"/>
    <w:rsid w:val="00B50329"/>
    <w:rsid w:val="00B9296B"/>
    <w:rsid w:val="00B973C9"/>
    <w:rsid w:val="00C01294"/>
    <w:rsid w:val="00C6083B"/>
    <w:rsid w:val="00C64AA0"/>
    <w:rsid w:val="00C86033"/>
    <w:rsid w:val="00D650F0"/>
    <w:rsid w:val="00D73962"/>
    <w:rsid w:val="00D94573"/>
    <w:rsid w:val="00D94B6C"/>
    <w:rsid w:val="00DA246E"/>
    <w:rsid w:val="00DB1CF7"/>
    <w:rsid w:val="00DB540A"/>
    <w:rsid w:val="00DF2A4F"/>
    <w:rsid w:val="00E2396E"/>
    <w:rsid w:val="00E60287"/>
    <w:rsid w:val="00EF7BFD"/>
    <w:rsid w:val="00F01D15"/>
    <w:rsid w:val="00F52CAA"/>
    <w:rsid w:val="00F75F74"/>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FD663"/>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semiHidden/>
    <w:rsid w:val="00E60287"/>
    <w:rPr>
      <w:sz w:val="20"/>
      <w:szCs w:val="20"/>
    </w:rPr>
  </w:style>
  <w:style w:type="character" w:customStyle="1" w:styleId="TextonotaalfinalCar">
    <w:name w:val="Texto nota al final Car"/>
    <w:basedOn w:val="Fuentedeprrafopredeter"/>
    <w:link w:val="Textonotaalfinal"/>
    <w:uiPriority w:val="99"/>
    <w:semiHidden/>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semiHidden/>
    <w:rsid w:val="00E60287"/>
    <w:rPr>
      <w:rFonts w:cs="Times New Roman"/>
      <w:vertAlign w:val="superscript"/>
    </w:rPr>
  </w:style>
  <w:style w:type="paragraph" w:customStyle="1" w:styleId="Default">
    <w:name w:val="Default"/>
    <w:rsid w:val="00A75DBC"/>
    <w:pPr>
      <w:autoSpaceDE w:val="0"/>
      <w:autoSpaceDN w:val="0"/>
      <w:adjustRightInd w:val="0"/>
      <w:spacing w:after="0" w:line="240" w:lineRule="auto"/>
    </w:pPr>
    <w:rPr>
      <w:rFonts w:ascii="Utopia" w:eastAsia="Calibri" w:hAnsi="Utopia" w:cs="Utopia"/>
      <w:color w:val="000000"/>
      <w:sz w:val="24"/>
      <w:szCs w:val="24"/>
      <w:lang w:val="es-ES" w:eastAsia="es-ES"/>
    </w:rPr>
  </w:style>
  <w:style w:type="paragraph" w:customStyle="1" w:styleId="sangrianovedades">
    <w:name w:val="sangria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rsid w:val="00A75DBC"/>
  </w:style>
  <w:style w:type="paragraph" w:customStyle="1" w:styleId="errepar1erfrancesnovedades">
    <w:name w:val="errepar_1er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table" w:styleId="Tablaconcuadrcula">
    <w:name w:val="Table Grid"/>
    <w:basedOn w:val="Tablanormal"/>
    <w:uiPriority w:val="99"/>
    <w:rsid w:val="00A64D45"/>
    <w:pPr>
      <w:widowControl w:val="0"/>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3erfrancesnovedades">
    <w:name w:val="errepar_3erfrances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DA246E"/>
    <w:pPr>
      <w:widowControl/>
      <w:autoSpaceDE/>
      <w:autoSpaceDN/>
      <w:spacing w:before="100" w:beforeAutospacing="1" w:after="100" w:afterAutospacing="1"/>
      <w:jc w:val="left"/>
    </w:pPr>
    <w:rPr>
      <w:rFonts w:ascii="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66120267">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2</cp:revision>
  <dcterms:created xsi:type="dcterms:W3CDTF">2018-01-22T17:52:00Z</dcterms:created>
  <dcterms:modified xsi:type="dcterms:W3CDTF">2018-01-22T17:52:00Z</dcterms:modified>
</cp:coreProperties>
</file>