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68" w:rsidRDefault="007C7168" w:rsidP="007C716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DEPARTAMENTO DE ESTUDIOS TRIBUTARIOS</w:t>
      </w:r>
      <w:r w:rsidR="00897A05">
        <w:rPr>
          <w:rFonts w:ascii="Arial" w:hAnsi="Arial" w:cs="Arial"/>
          <w:b/>
          <w:bCs/>
          <w:sz w:val="32"/>
        </w:rPr>
        <w:t xml:space="preserve"> </w:t>
      </w:r>
    </w:p>
    <w:p w:rsidR="007C7168" w:rsidRDefault="007C7168" w:rsidP="007C7168">
      <w:pPr>
        <w:rPr>
          <w:rFonts w:ascii="Arial" w:hAnsi="Arial" w:cs="Arial"/>
          <w:b/>
          <w:bCs/>
          <w:sz w:val="32"/>
        </w:rPr>
      </w:pPr>
    </w:p>
    <w:p w:rsidR="007C7168" w:rsidRDefault="00C86033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C20</w:t>
      </w:r>
      <w:r w:rsidR="003B62E5">
        <w:rPr>
          <w:rFonts w:ascii="Arial" w:hAnsi="Arial" w:cs="Arial"/>
          <w:b/>
          <w:bCs/>
          <w:sz w:val="36"/>
          <w:szCs w:val="36"/>
        </w:rPr>
        <w:t>18-0</w:t>
      </w:r>
      <w:r w:rsidR="00D31822">
        <w:rPr>
          <w:rFonts w:ascii="Arial" w:hAnsi="Arial" w:cs="Arial"/>
          <w:b/>
          <w:bCs/>
          <w:sz w:val="36"/>
          <w:szCs w:val="36"/>
        </w:rPr>
        <w:t>2</w:t>
      </w:r>
      <w:r w:rsidR="00901AFF">
        <w:rPr>
          <w:rFonts w:ascii="Arial" w:hAnsi="Arial" w:cs="Arial"/>
          <w:b/>
          <w:bCs/>
          <w:sz w:val="36"/>
          <w:szCs w:val="36"/>
        </w:rPr>
        <w:t>1</w:t>
      </w:r>
    </w:p>
    <w:p w:rsidR="00310F7E" w:rsidRDefault="00310F7E" w:rsidP="007C7168">
      <w:pPr>
        <w:jc w:val="right"/>
        <w:rPr>
          <w:rFonts w:ascii="Arial" w:hAnsi="Arial" w:cs="Arial"/>
          <w:b/>
          <w:bCs/>
          <w:sz w:val="36"/>
          <w:szCs w:val="36"/>
        </w:rPr>
      </w:pPr>
    </w:p>
    <w:p w:rsidR="009E458A" w:rsidRDefault="009E458A" w:rsidP="009E458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CIRCULAR INFORMATIVA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Nº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3B62E5">
        <w:rPr>
          <w:rFonts w:ascii="Arial" w:hAnsi="Arial" w:cs="Arial"/>
          <w:b/>
          <w:bCs/>
          <w:sz w:val="28"/>
          <w:szCs w:val="28"/>
        </w:rPr>
        <w:t>0</w:t>
      </w:r>
      <w:r w:rsidR="00DA246E">
        <w:rPr>
          <w:rFonts w:ascii="Arial" w:hAnsi="Arial" w:cs="Arial"/>
          <w:b/>
          <w:bCs/>
          <w:sz w:val="28"/>
          <w:szCs w:val="28"/>
        </w:rPr>
        <w:t>1</w:t>
      </w:r>
      <w:r w:rsidR="00901AFF">
        <w:rPr>
          <w:rFonts w:ascii="Arial" w:hAnsi="Arial" w:cs="Arial"/>
          <w:b/>
          <w:bCs/>
          <w:sz w:val="28"/>
          <w:szCs w:val="28"/>
        </w:rPr>
        <w:t>3</w:t>
      </w:r>
      <w:bookmarkStart w:id="0" w:name="_GoBack"/>
      <w:bookmarkEnd w:id="0"/>
    </w:p>
    <w:p w:rsidR="002C119C" w:rsidRDefault="002C119C" w:rsidP="009E458A">
      <w:pPr>
        <w:rPr>
          <w:rFonts w:ascii="Arial" w:hAnsi="Arial" w:cs="Arial"/>
          <w:b/>
          <w:bCs/>
          <w:sz w:val="28"/>
          <w:szCs w:val="28"/>
          <w:lang w:val="es-AR"/>
        </w:rPr>
      </w:pPr>
    </w:p>
    <w:p w:rsidR="00901AFF" w:rsidRPr="00901AFF" w:rsidRDefault="00901AFF" w:rsidP="00901AFF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proofErr w:type="gramStart"/>
      <w:r w:rsidRPr="00901AFF">
        <w:rPr>
          <w:rFonts w:ascii="Arial" w:hAnsi="Arial" w:cs="Arial"/>
          <w:b/>
          <w:i/>
          <w:sz w:val="32"/>
          <w:szCs w:val="32"/>
          <w:u w:val="single"/>
        </w:rPr>
        <w:t>PROVINCIA  DE</w:t>
      </w:r>
      <w:proofErr w:type="gramEnd"/>
      <w:r w:rsidRPr="00901AFF">
        <w:rPr>
          <w:rFonts w:ascii="Arial" w:hAnsi="Arial" w:cs="Arial"/>
          <w:b/>
          <w:i/>
          <w:sz w:val="32"/>
          <w:szCs w:val="32"/>
          <w:u w:val="single"/>
        </w:rPr>
        <w:t xml:space="preserve"> CATAMARCA</w:t>
      </w:r>
    </w:p>
    <w:p w:rsidR="00901AFF" w:rsidRPr="00901AFF" w:rsidRDefault="00901AFF" w:rsidP="00901AFF">
      <w:pPr>
        <w:jc w:val="center"/>
        <w:rPr>
          <w:rFonts w:ascii="Arial" w:hAnsi="Arial" w:cs="Arial"/>
        </w:rPr>
      </w:pPr>
    </w:p>
    <w:p w:rsidR="00901AFF" w:rsidRPr="00901AFF" w:rsidRDefault="00901AFF" w:rsidP="00901AFF">
      <w:pPr>
        <w:rPr>
          <w:rFonts w:ascii="Arial" w:hAnsi="Arial" w:cs="Arial"/>
        </w:rPr>
      </w:pPr>
    </w:p>
    <w:p w:rsidR="00901AFF" w:rsidRPr="00901AFF" w:rsidRDefault="00901AFF" w:rsidP="00901AFF">
      <w:pPr>
        <w:rPr>
          <w:rFonts w:ascii="Arial" w:hAnsi="Arial" w:cs="Arial"/>
          <w:b/>
          <w:i/>
          <w:u w:val="single"/>
        </w:rPr>
      </w:pPr>
      <w:r w:rsidRPr="00901AFF">
        <w:rPr>
          <w:rFonts w:ascii="Arial" w:hAnsi="Arial" w:cs="Arial"/>
          <w:i/>
          <w:u w:val="single"/>
        </w:rPr>
        <w:t xml:space="preserve">CODIFICACION – </w:t>
      </w:r>
      <w:proofErr w:type="gramStart"/>
      <w:r w:rsidRPr="00901AFF">
        <w:rPr>
          <w:rFonts w:ascii="Arial" w:hAnsi="Arial" w:cs="Arial"/>
          <w:i/>
          <w:u w:val="single"/>
        </w:rPr>
        <w:t>ALICUOTAS  (</w:t>
      </w:r>
      <w:proofErr w:type="gramEnd"/>
      <w:r w:rsidRPr="00901AFF">
        <w:rPr>
          <w:rFonts w:ascii="Arial" w:hAnsi="Arial" w:cs="Arial"/>
          <w:b/>
          <w:i/>
          <w:u w:val="single"/>
        </w:rPr>
        <w:t>GENERAL 3 %) – 2018</w:t>
      </w:r>
    </w:p>
    <w:p w:rsidR="00901AFF" w:rsidRDefault="00901AFF" w:rsidP="00901AFF"/>
    <w:tbl>
      <w:tblPr>
        <w:tblW w:w="11307" w:type="dxa"/>
        <w:tblInd w:w="-1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4394"/>
        <w:gridCol w:w="1559"/>
        <w:gridCol w:w="3119"/>
      </w:tblGrid>
      <w:tr w:rsidR="00901AFF" w:rsidTr="00901AFF">
        <w:trPr>
          <w:trHeight w:val="352"/>
        </w:trPr>
        <w:tc>
          <w:tcPr>
            <w:tcW w:w="2235" w:type="dxa"/>
            <w:gridSpan w:val="2"/>
          </w:tcPr>
          <w:p w:rsidR="00901AFF" w:rsidRDefault="00901AFF" w:rsidP="00750591">
            <w:pPr>
              <w:jc w:val="center"/>
              <w:rPr>
                <w:b/>
              </w:rPr>
            </w:pPr>
          </w:p>
          <w:p w:rsidR="00901AFF" w:rsidRPr="007939E7" w:rsidRDefault="00901AFF" w:rsidP="00750591">
            <w:pPr>
              <w:jc w:val="center"/>
              <w:rPr>
                <w:b/>
              </w:rPr>
            </w:pPr>
            <w:r w:rsidRPr="007939E7">
              <w:rPr>
                <w:b/>
              </w:rPr>
              <w:t>CODIGO</w:t>
            </w:r>
          </w:p>
        </w:tc>
        <w:tc>
          <w:tcPr>
            <w:tcW w:w="4394" w:type="dxa"/>
            <w:vMerge w:val="restart"/>
          </w:tcPr>
          <w:p w:rsidR="00901AFF" w:rsidRDefault="00901AFF" w:rsidP="00750591">
            <w:pPr>
              <w:jc w:val="center"/>
              <w:rPr>
                <w:b/>
              </w:rPr>
            </w:pPr>
          </w:p>
          <w:p w:rsidR="00901AFF" w:rsidRPr="007939E7" w:rsidRDefault="00901AFF" w:rsidP="00750591">
            <w:pPr>
              <w:jc w:val="center"/>
              <w:rPr>
                <w:b/>
              </w:rPr>
            </w:pPr>
            <w:r w:rsidRPr="007939E7">
              <w:rPr>
                <w:b/>
              </w:rPr>
              <w:t>DESCRIPCION</w:t>
            </w:r>
          </w:p>
        </w:tc>
        <w:tc>
          <w:tcPr>
            <w:tcW w:w="1559" w:type="dxa"/>
            <w:vMerge w:val="restart"/>
          </w:tcPr>
          <w:p w:rsidR="00901AFF" w:rsidRDefault="00901AFF" w:rsidP="00750591">
            <w:pPr>
              <w:jc w:val="center"/>
              <w:rPr>
                <w:b/>
              </w:rPr>
            </w:pPr>
          </w:p>
          <w:p w:rsidR="00901AFF" w:rsidRDefault="00901AFF" w:rsidP="00750591">
            <w:pPr>
              <w:jc w:val="center"/>
              <w:rPr>
                <w:b/>
              </w:rPr>
            </w:pPr>
            <w:r w:rsidRPr="007939E7">
              <w:rPr>
                <w:b/>
              </w:rPr>
              <w:t>ALICUOTA</w:t>
            </w:r>
          </w:p>
          <w:p w:rsidR="00901AFF" w:rsidRPr="007939E7" w:rsidRDefault="00901AFF" w:rsidP="00750591">
            <w:pPr>
              <w:jc w:val="center"/>
              <w:rPr>
                <w:b/>
              </w:rPr>
            </w:pPr>
            <w:r>
              <w:rPr>
                <w:b/>
              </w:rPr>
              <w:t>(**)</w:t>
            </w:r>
          </w:p>
        </w:tc>
        <w:tc>
          <w:tcPr>
            <w:tcW w:w="3119" w:type="dxa"/>
            <w:vMerge w:val="restart"/>
          </w:tcPr>
          <w:p w:rsidR="00901AFF" w:rsidRDefault="00901AFF" w:rsidP="00750591">
            <w:pPr>
              <w:jc w:val="center"/>
              <w:rPr>
                <w:b/>
              </w:rPr>
            </w:pPr>
          </w:p>
          <w:p w:rsidR="00901AFF" w:rsidRPr="007939E7" w:rsidRDefault="00901AFF" w:rsidP="00750591">
            <w:pPr>
              <w:jc w:val="center"/>
              <w:rPr>
                <w:b/>
              </w:rPr>
            </w:pPr>
            <w:r w:rsidRPr="007939E7">
              <w:rPr>
                <w:b/>
              </w:rPr>
              <w:t>OBSERVACIONES</w:t>
            </w:r>
          </w:p>
        </w:tc>
      </w:tr>
      <w:tr w:rsidR="00901AFF" w:rsidTr="00901AFF">
        <w:trPr>
          <w:trHeight w:val="351"/>
        </w:trPr>
        <w:tc>
          <w:tcPr>
            <w:tcW w:w="1101" w:type="dxa"/>
          </w:tcPr>
          <w:p w:rsidR="00901AFF" w:rsidRDefault="00901AFF" w:rsidP="00750591">
            <w:pPr>
              <w:jc w:val="center"/>
              <w:rPr>
                <w:b/>
              </w:rPr>
            </w:pPr>
            <w:r>
              <w:rPr>
                <w:b/>
              </w:rPr>
              <w:t>C.M.</w:t>
            </w: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b/>
              </w:rPr>
            </w:pPr>
            <w:r>
              <w:rPr>
                <w:b/>
              </w:rPr>
              <w:t>PCIA.</w:t>
            </w:r>
          </w:p>
        </w:tc>
        <w:tc>
          <w:tcPr>
            <w:tcW w:w="4394" w:type="dxa"/>
            <w:vMerge/>
          </w:tcPr>
          <w:p w:rsidR="00901AFF" w:rsidRDefault="00901AFF" w:rsidP="0075059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01AFF" w:rsidRDefault="00901AFF" w:rsidP="00750591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</w:tcPr>
          <w:p w:rsidR="00901AFF" w:rsidRDefault="00901AFF" w:rsidP="00750591">
            <w:pPr>
              <w:jc w:val="center"/>
              <w:rPr>
                <w:b/>
              </w:rPr>
            </w:pPr>
          </w:p>
        </w:tc>
      </w:tr>
      <w:tr w:rsidR="00901AFF" w:rsidRPr="00F8265F" w:rsidTr="00901AFF">
        <w:trPr>
          <w:trHeight w:val="613"/>
        </w:trPr>
        <w:tc>
          <w:tcPr>
            <w:tcW w:w="1101" w:type="dxa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Pr="004857C8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492210</w:t>
            </w: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Pr="004857C8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71201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sz w:val="20"/>
                <w:szCs w:val="20"/>
              </w:rPr>
            </w:pPr>
          </w:p>
          <w:p w:rsidR="00901AFF" w:rsidRPr="007939E7" w:rsidRDefault="00901AFF" w:rsidP="00750591">
            <w:pPr>
              <w:rPr>
                <w:sz w:val="20"/>
                <w:szCs w:val="20"/>
              </w:rPr>
            </w:pPr>
            <w:r w:rsidRPr="004857C8">
              <w:rPr>
                <w:b/>
                <w:sz w:val="20"/>
                <w:szCs w:val="20"/>
              </w:rPr>
              <w:t>Servicios de Mudanza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  <w:p w:rsidR="00901AFF" w:rsidRDefault="00901AFF" w:rsidP="00750591">
            <w:pPr>
              <w:rPr>
                <w:sz w:val="20"/>
                <w:szCs w:val="20"/>
              </w:rPr>
            </w:pPr>
          </w:p>
          <w:p w:rsidR="00901AFF" w:rsidRDefault="00901AFF" w:rsidP="00750591">
            <w:pPr>
              <w:rPr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42271B" w:rsidRDefault="00901AFF" w:rsidP="007505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Ley   </w:t>
            </w:r>
            <w:proofErr w:type="gramStart"/>
            <w:r>
              <w:rPr>
                <w:b/>
                <w:sz w:val="20"/>
                <w:szCs w:val="20"/>
              </w:rPr>
              <w:t>5533 ,</w:t>
            </w:r>
            <w:proofErr w:type="gramEnd"/>
            <w:r>
              <w:rPr>
                <w:b/>
                <w:sz w:val="20"/>
                <w:szCs w:val="20"/>
              </w:rPr>
              <w:t xml:space="preserve"> artículo  14</w:t>
            </w: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053043" w:rsidRDefault="00901AFF" w:rsidP="00750591">
            <w:pPr>
              <w:rPr>
                <w:sz w:val="20"/>
                <w:szCs w:val="20"/>
              </w:rPr>
            </w:pPr>
          </w:p>
        </w:tc>
      </w:tr>
      <w:tr w:rsidR="00901AFF" w:rsidRPr="00F8265F" w:rsidTr="00901AFF">
        <w:trPr>
          <w:trHeight w:val="545"/>
        </w:trPr>
        <w:tc>
          <w:tcPr>
            <w:tcW w:w="1101" w:type="dxa"/>
            <w:vMerge w:val="restart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06F12">
              <w:rPr>
                <w:b/>
                <w:sz w:val="20"/>
                <w:szCs w:val="20"/>
              </w:rPr>
              <w:t>49222</w:t>
            </w:r>
            <w:r>
              <w:rPr>
                <w:sz w:val="20"/>
                <w:szCs w:val="20"/>
              </w:rPr>
              <w:t>1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492229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492240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492230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492280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492250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492299</w:t>
            </w:r>
          </w:p>
          <w:p w:rsidR="00901AFF" w:rsidRPr="00941066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Pr="004857C8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71200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4857C8" w:rsidRDefault="00901AFF" w:rsidP="00750591">
            <w:pPr>
              <w:rPr>
                <w:b/>
                <w:sz w:val="20"/>
                <w:szCs w:val="20"/>
              </w:rPr>
            </w:pPr>
            <w:r w:rsidRPr="0017077F">
              <w:rPr>
                <w:b/>
                <w:sz w:val="20"/>
                <w:szCs w:val="20"/>
              </w:rPr>
              <w:t>Transporte terrestre de carga</w:t>
            </w:r>
          </w:p>
        </w:tc>
        <w:tc>
          <w:tcPr>
            <w:tcW w:w="1559" w:type="dxa"/>
            <w:vMerge/>
          </w:tcPr>
          <w:p w:rsidR="00901AFF" w:rsidRPr="007939E7" w:rsidRDefault="00901AFF" w:rsidP="007505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01AFF" w:rsidRPr="00F8265F" w:rsidRDefault="00901AFF" w:rsidP="00750591">
            <w:pPr>
              <w:rPr>
                <w:sz w:val="20"/>
                <w:szCs w:val="20"/>
                <w:highlight w:val="yellow"/>
              </w:rPr>
            </w:pPr>
          </w:p>
        </w:tc>
      </w:tr>
      <w:tr w:rsidR="00901AFF" w:rsidRPr="00F8265F" w:rsidTr="00901AFF">
        <w:trPr>
          <w:trHeight w:val="1140"/>
        </w:trPr>
        <w:tc>
          <w:tcPr>
            <w:tcW w:w="1101" w:type="dxa"/>
            <w:vMerge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71203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  <w:r w:rsidRPr="00E53148">
              <w:rPr>
                <w:b/>
                <w:sz w:val="20"/>
                <w:szCs w:val="20"/>
              </w:rPr>
              <w:t>Transporte de sustancias peligrosas - incluye explosivos</w:t>
            </w:r>
          </w:p>
        </w:tc>
        <w:tc>
          <w:tcPr>
            <w:tcW w:w="1559" w:type="dxa"/>
            <w:vMerge/>
          </w:tcPr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01AFF" w:rsidRPr="00F8265F" w:rsidRDefault="00901AFF" w:rsidP="00750591">
            <w:pPr>
              <w:rPr>
                <w:sz w:val="20"/>
                <w:szCs w:val="20"/>
                <w:highlight w:val="yellow"/>
              </w:rPr>
            </w:pPr>
          </w:p>
        </w:tc>
      </w:tr>
      <w:tr w:rsidR="00901AFF" w:rsidRPr="00F8265F" w:rsidTr="00901AFF">
        <w:trPr>
          <w:trHeight w:val="540"/>
        </w:trPr>
        <w:tc>
          <w:tcPr>
            <w:tcW w:w="1101" w:type="dxa"/>
            <w:vMerge w:val="restart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521010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523032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523039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523090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Pr="00657CD3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Pr="00657CD3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71500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657CD3" w:rsidRDefault="00901AFF" w:rsidP="00750591">
            <w:pPr>
              <w:rPr>
                <w:b/>
                <w:sz w:val="20"/>
                <w:szCs w:val="20"/>
              </w:rPr>
            </w:pPr>
            <w:r w:rsidRPr="005A5059">
              <w:rPr>
                <w:b/>
                <w:sz w:val="20"/>
                <w:szCs w:val="20"/>
              </w:rPr>
              <w:t>Servicios relacionados con el transporte excepto agencias de turismo</w:t>
            </w:r>
          </w:p>
        </w:tc>
        <w:tc>
          <w:tcPr>
            <w:tcW w:w="1559" w:type="dxa"/>
            <w:vMerge w:val="restart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901AFF" w:rsidRPr="00F8265F" w:rsidRDefault="00901AFF" w:rsidP="00750591">
            <w:pPr>
              <w:rPr>
                <w:sz w:val="20"/>
                <w:szCs w:val="20"/>
                <w:highlight w:val="yellow"/>
              </w:rPr>
            </w:pPr>
          </w:p>
        </w:tc>
      </w:tr>
      <w:tr w:rsidR="00901AFF" w:rsidRPr="00F8265F" w:rsidTr="00901AFF">
        <w:trPr>
          <w:trHeight w:val="540"/>
        </w:trPr>
        <w:tc>
          <w:tcPr>
            <w:tcW w:w="1101" w:type="dxa"/>
            <w:vMerge/>
          </w:tcPr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71507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sz w:val="20"/>
                <w:szCs w:val="20"/>
              </w:rPr>
            </w:pPr>
          </w:p>
          <w:p w:rsidR="00901AFF" w:rsidRPr="00352FD4" w:rsidRDefault="00901AFF" w:rsidP="00750591">
            <w:pPr>
              <w:rPr>
                <w:b/>
                <w:sz w:val="20"/>
                <w:szCs w:val="20"/>
              </w:rPr>
            </w:pPr>
            <w:r w:rsidRPr="00AB13B7">
              <w:rPr>
                <w:b/>
                <w:sz w:val="20"/>
                <w:szCs w:val="20"/>
              </w:rPr>
              <w:t xml:space="preserve">Agentes de carga internacional, entendiéndose por tales a aquellas personas jurídicas o físicas que estando inscriptas como agentes de transporte aduanero ante la Administración Federal de Ingresos Públicos o el organismo competente en materia aduanera, sean proveedores de servicios logísticos en todo lo relacionado con los movimientos de carga nacional y/o internacional, con estructura propia y/o de terceros, coordinando y organizando embarques nacionales y/o internacionales, consolidación y/o desconsolidación de cargas, depósitos de mercadería, embalajes y demás servicios conexos al </w:t>
            </w:r>
            <w:r w:rsidRPr="00AB13B7">
              <w:rPr>
                <w:b/>
                <w:sz w:val="20"/>
                <w:szCs w:val="20"/>
              </w:rPr>
              <w:lastRenderedPageBreak/>
              <w:t>transporte internacional</w:t>
            </w:r>
          </w:p>
        </w:tc>
        <w:tc>
          <w:tcPr>
            <w:tcW w:w="1559" w:type="dxa"/>
            <w:vMerge/>
          </w:tcPr>
          <w:p w:rsidR="00901AFF" w:rsidRPr="004D529E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01AFF" w:rsidRPr="00F8265F" w:rsidRDefault="00901AFF" w:rsidP="00750591">
            <w:pPr>
              <w:rPr>
                <w:sz w:val="20"/>
                <w:szCs w:val="20"/>
                <w:highlight w:val="yellow"/>
              </w:rPr>
            </w:pPr>
          </w:p>
        </w:tc>
      </w:tr>
      <w:tr w:rsidR="00901AFF" w:rsidRPr="00F8265F" w:rsidTr="00901AFF">
        <w:trPr>
          <w:trHeight w:val="1218"/>
        </w:trPr>
        <w:tc>
          <w:tcPr>
            <w:tcW w:w="1101" w:type="dxa"/>
          </w:tcPr>
          <w:p w:rsidR="00901AFF" w:rsidRPr="00F26470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522010</w:t>
            </w:r>
          </w:p>
          <w:p w:rsidR="00901AFF" w:rsidRPr="00F26470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522020</w:t>
            </w:r>
          </w:p>
          <w:p w:rsidR="00901AFF" w:rsidRPr="00F26470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522091</w:t>
            </w:r>
          </w:p>
          <w:p w:rsidR="00901AFF" w:rsidRPr="00F26470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522092</w:t>
            </w: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522099</w:t>
            </w: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72000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sz w:val="20"/>
                <w:szCs w:val="20"/>
              </w:rPr>
            </w:pPr>
          </w:p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352FD4" w:rsidRDefault="00901AFF" w:rsidP="00750591">
            <w:pPr>
              <w:rPr>
                <w:b/>
                <w:sz w:val="20"/>
                <w:szCs w:val="20"/>
              </w:rPr>
            </w:pPr>
            <w:r w:rsidRPr="00F76DCB">
              <w:rPr>
                <w:b/>
                <w:sz w:val="20"/>
                <w:szCs w:val="20"/>
              </w:rPr>
              <w:t>Depósito y almacenamiento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</w:tcPr>
          <w:p w:rsidR="00901AFF" w:rsidRPr="00A231F2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01AFF" w:rsidRPr="00F8265F" w:rsidRDefault="00901AFF" w:rsidP="00750591">
            <w:pPr>
              <w:rPr>
                <w:sz w:val="20"/>
                <w:szCs w:val="20"/>
                <w:highlight w:val="yellow"/>
              </w:rPr>
            </w:pPr>
          </w:p>
        </w:tc>
      </w:tr>
      <w:tr w:rsidR="00901AFF" w:rsidRPr="00F8265F" w:rsidTr="00901AFF">
        <w:trPr>
          <w:trHeight w:val="557"/>
        </w:trPr>
        <w:tc>
          <w:tcPr>
            <w:tcW w:w="1101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530010</w:t>
            </w: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F26470">
              <w:rPr>
                <w:b/>
                <w:sz w:val="20"/>
                <w:szCs w:val="20"/>
              </w:rPr>
              <w:t>530090</w:t>
            </w: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sz w:val="20"/>
                <w:szCs w:val="20"/>
              </w:rPr>
            </w:pP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73000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sz w:val="20"/>
                <w:szCs w:val="20"/>
              </w:rPr>
            </w:pPr>
          </w:p>
          <w:p w:rsidR="00901AFF" w:rsidRPr="007939E7" w:rsidRDefault="00901AFF" w:rsidP="00750591">
            <w:pPr>
              <w:rPr>
                <w:sz w:val="20"/>
                <w:szCs w:val="20"/>
              </w:rPr>
            </w:pPr>
            <w:r w:rsidRPr="00F17992">
              <w:rPr>
                <w:b/>
                <w:sz w:val="20"/>
                <w:szCs w:val="20"/>
              </w:rPr>
              <w:t>Comunicaciones por correo, telegráfico y télex</w:t>
            </w:r>
            <w:r w:rsidRPr="00352FD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901AFF" w:rsidRPr="00DA066C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DA066C">
              <w:rPr>
                <w:b/>
                <w:sz w:val="20"/>
                <w:szCs w:val="20"/>
              </w:rPr>
              <w:t>3,3</w:t>
            </w:r>
            <w:r>
              <w:rPr>
                <w:b/>
                <w:sz w:val="20"/>
                <w:szCs w:val="20"/>
              </w:rPr>
              <w:t>0</w:t>
            </w:r>
            <w:r w:rsidRPr="00DA066C">
              <w:rPr>
                <w:b/>
                <w:sz w:val="20"/>
                <w:szCs w:val="20"/>
              </w:rPr>
              <w:t>%</w:t>
            </w:r>
          </w:p>
          <w:p w:rsidR="00901AFF" w:rsidRPr="007939E7" w:rsidRDefault="00901AFF" w:rsidP="00750591">
            <w:pPr>
              <w:jc w:val="center"/>
              <w:rPr>
                <w:sz w:val="20"/>
                <w:szCs w:val="20"/>
              </w:rPr>
            </w:pPr>
            <w:r w:rsidRPr="00DA066C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901AFF" w:rsidRPr="00F8265F" w:rsidRDefault="00901AFF" w:rsidP="00750591">
            <w:pPr>
              <w:rPr>
                <w:sz w:val="20"/>
                <w:szCs w:val="20"/>
                <w:highlight w:val="yellow"/>
              </w:rPr>
            </w:pPr>
          </w:p>
        </w:tc>
      </w:tr>
      <w:tr w:rsidR="00901AFF" w:rsidRPr="007939E7" w:rsidTr="00901AFF">
        <w:trPr>
          <w:trHeight w:val="705"/>
        </w:trPr>
        <w:tc>
          <w:tcPr>
            <w:tcW w:w="1101" w:type="dxa"/>
          </w:tcPr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801010</w:t>
            </w:r>
          </w:p>
          <w:p w:rsidR="00901AFF" w:rsidRPr="00352FD4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657CD3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71202</w:t>
            </w:r>
          </w:p>
        </w:tc>
        <w:tc>
          <w:tcPr>
            <w:tcW w:w="4394" w:type="dxa"/>
          </w:tcPr>
          <w:p w:rsidR="00901AFF" w:rsidRDefault="00901AFF" w:rsidP="00750591">
            <w:pPr>
              <w:rPr>
                <w:b/>
                <w:sz w:val="20"/>
                <w:szCs w:val="20"/>
              </w:rPr>
            </w:pPr>
          </w:p>
          <w:p w:rsidR="00901AFF" w:rsidRPr="007939E7" w:rsidRDefault="00901AFF" w:rsidP="00750591">
            <w:pPr>
              <w:rPr>
                <w:sz w:val="20"/>
                <w:szCs w:val="20"/>
              </w:rPr>
            </w:pPr>
            <w:r w:rsidRPr="0017077F">
              <w:rPr>
                <w:b/>
                <w:sz w:val="20"/>
                <w:szCs w:val="20"/>
              </w:rPr>
              <w:t>Transporte de valores, documentación, encomiendas y similares</w:t>
            </w:r>
          </w:p>
        </w:tc>
        <w:tc>
          <w:tcPr>
            <w:tcW w:w="1559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Pr="00B20C50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3119" w:type="dxa"/>
            <w:vMerge/>
          </w:tcPr>
          <w:p w:rsidR="00901AFF" w:rsidRPr="007939E7" w:rsidRDefault="00901AFF" w:rsidP="00750591">
            <w:pPr>
              <w:rPr>
                <w:sz w:val="20"/>
                <w:szCs w:val="20"/>
              </w:rPr>
            </w:pPr>
          </w:p>
        </w:tc>
      </w:tr>
      <w:tr w:rsidR="00901AFF" w:rsidRPr="007939E7" w:rsidTr="00901AFF">
        <w:trPr>
          <w:trHeight w:val="843"/>
        </w:trPr>
        <w:tc>
          <w:tcPr>
            <w:tcW w:w="1101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381100</w:t>
            </w:r>
          </w:p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381200</w:t>
            </w:r>
          </w:p>
          <w:p w:rsidR="00901AFF" w:rsidRPr="00B20C50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390000</w:t>
            </w:r>
          </w:p>
        </w:tc>
        <w:tc>
          <w:tcPr>
            <w:tcW w:w="1134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</w:p>
          <w:p w:rsidR="00901AFF" w:rsidRPr="006270A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82304</w:t>
            </w:r>
          </w:p>
        </w:tc>
        <w:tc>
          <w:tcPr>
            <w:tcW w:w="4394" w:type="dxa"/>
          </w:tcPr>
          <w:p w:rsidR="00901AFF" w:rsidRPr="006270AF" w:rsidRDefault="00901AFF" w:rsidP="00750591">
            <w:pPr>
              <w:rPr>
                <w:b/>
                <w:sz w:val="20"/>
                <w:szCs w:val="20"/>
              </w:rPr>
            </w:pPr>
            <w:r w:rsidRPr="00220DF7">
              <w:rPr>
                <w:b/>
                <w:sz w:val="20"/>
                <w:szCs w:val="20"/>
              </w:rPr>
              <w:t xml:space="preserve">Servicios de saneamiento y similares (incluye </w:t>
            </w:r>
            <w:proofErr w:type="spellStart"/>
            <w:r w:rsidRPr="00220DF7">
              <w:rPr>
                <w:b/>
                <w:sz w:val="20"/>
                <w:szCs w:val="20"/>
              </w:rPr>
              <w:t>rec.</w:t>
            </w:r>
            <w:proofErr w:type="spellEnd"/>
            <w:r w:rsidRPr="00220DF7">
              <w:rPr>
                <w:b/>
                <w:sz w:val="20"/>
                <w:szCs w:val="20"/>
              </w:rPr>
              <w:t xml:space="preserve"> de residuos, </w:t>
            </w:r>
            <w:proofErr w:type="spellStart"/>
            <w:r w:rsidRPr="00220DF7">
              <w:rPr>
                <w:b/>
                <w:sz w:val="20"/>
                <w:szCs w:val="20"/>
              </w:rPr>
              <w:t>limp</w:t>
            </w:r>
            <w:proofErr w:type="spellEnd"/>
            <w:r w:rsidRPr="00220DF7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220DF7">
              <w:rPr>
                <w:b/>
                <w:sz w:val="20"/>
                <w:szCs w:val="20"/>
              </w:rPr>
              <w:t>fumig</w:t>
            </w:r>
            <w:proofErr w:type="spellEnd"/>
            <w:r w:rsidRPr="00220DF7">
              <w:rPr>
                <w:b/>
                <w:sz w:val="20"/>
                <w:szCs w:val="20"/>
              </w:rPr>
              <w:t>., desagote de pozos negros y cámaras sépticas, etc.).</w:t>
            </w:r>
          </w:p>
        </w:tc>
        <w:tc>
          <w:tcPr>
            <w:tcW w:w="1559" w:type="dxa"/>
          </w:tcPr>
          <w:p w:rsidR="00901AFF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220DF7">
              <w:rPr>
                <w:b/>
                <w:sz w:val="20"/>
                <w:szCs w:val="20"/>
              </w:rPr>
              <w:t>2,5 %</w:t>
            </w:r>
          </w:p>
          <w:p w:rsidR="00901AFF" w:rsidRPr="00220DF7" w:rsidRDefault="00901AFF" w:rsidP="00750591">
            <w:pPr>
              <w:jc w:val="center"/>
              <w:rPr>
                <w:b/>
                <w:sz w:val="20"/>
                <w:szCs w:val="20"/>
              </w:rPr>
            </w:pPr>
            <w:r w:rsidRPr="00403A40">
              <w:rPr>
                <w:b/>
                <w:sz w:val="20"/>
                <w:szCs w:val="20"/>
              </w:rPr>
              <w:t>(*)</w:t>
            </w:r>
          </w:p>
        </w:tc>
        <w:tc>
          <w:tcPr>
            <w:tcW w:w="3119" w:type="dxa"/>
            <w:vMerge/>
          </w:tcPr>
          <w:p w:rsidR="00901AFF" w:rsidRPr="007939E7" w:rsidRDefault="00901AFF" w:rsidP="00750591">
            <w:pPr>
              <w:rPr>
                <w:sz w:val="20"/>
                <w:szCs w:val="20"/>
              </w:rPr>
            </w:pPr>
          </w:p>
        </w:tc>
      </w:tr>
    </w:tbl>
    <w:p w:rsidR="00901AFF" w:rsidRPr="00F26470" w:rsidRDefault="00901AFF" w:rsidP="00901AFF">
      <w:pPr>
        <w:pStyle w:val="textocentradonegritanovedades"/>
        <w:spacing w:before="240" w:beforeAutospacing="0" w:afterAutospacing="0"/>
        <w:ind w:left="105" w:right="105"/>
        <w:rPr>
          <w:rFonts w:ascii="Verdana" w:hAnsi="Verdana"/>
          <w:b/>
          <w:bCs/>
          <w:color w:val="000000"/>
          <w:sz w:val="16"/>
          <w:szCs w:val="16"/>
        </w:rPr>
      </w:pPr>
      <w:r w:rsidRPr="00403A40">
        <w:rPr>
          <w:b/>
          <w:sz w:val="22"/>
          <w:szCs w:val="22"/>
        </w:rPr>
        <w:t>(</w:t>
      </w:r>
      <w:proofErr w:type="gramStart"/>
      <w:r w:rsidRPr="00403A40">
        <w:rPr>
          <w:b/>
          <w:sz w:val="22"/>
          <w:szCs w:val="22"/>
        </w:rPr>
        <w:t>*)</w:t>
      </w:r>
      <w:r w:rsidRPr="00F26470">
        <w:rPr>
          <w:rFonts w:ascii="Verdana" w:hAnsi="Verdana"/>
          <w:b/>
          <w:bCs/>
          <w:color w:val="000000"/>
          <w:sz w:val="16"/>
          <w:szCs w:val="16"/>
        </w:rPr>
        <w:t>Modificaciones</w:t>
      </w:r>
      <w:proofErr w:type="gramEnd"/>
      <w:r w:rsidRPr="00F26470">
        <w:rPr>
          <w:rFonts w:ascii="Verdana" w:hAnsi="Verdana"/>
          <w:b/>
          <w:bCs/>
          <w:color w:val="000000"/>
          <w:sz w:val="16"/>
          <w:szCs w:val="16"/>
        </w:rPr>
        <w:t xml:space="preserve"> al </w:t>
      </w:r>
      <w:r>
        <w:rPr>
          <w:rFonts w:ascii="Verdana" w:hAnsi="Verdana"/>
          <w:b/>
          <w:bCs/>
          <w:color w:val="000000"/>
          <w:sz w:val="16"/>
          <w:szCs w:val="16"/>
        </w:rPr>
        <w:t>artículo 4º de la Ley 5083</w:t>
      </w:r>
    </w:p>
    <w:p w:rsidR="00901AFF" w:rsidRPr="00F26470" w:rsidRDefault="00901AFF" w:rsidP="00901AFF">
      <w:pPr>
        <w:spacing w:before="80"/>
        <w:ind w:right="105"/>
        <w:rPr>
          <w:rFonts w:ascii="Verdana" w:hAnsi="Verdana"/>
          <w:color w:val="000000"/>
          <w:sz w:val="16"/>
          <w:szCs w:val="16"/>
          <w:lang w:val="es-AR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s-AR"/>
        </w:rPr>
        <w:t>A</w:t>
      </w:r>
      <w:r w:rsidRPr="00F26470">
        <w:rPr>
          <w:rFonts w:ascii="Verdana" w:hAnsi="Verdana"/>
          <w:b/>
          <w:bCs/>
          <w:color w:val="000000"/>
          <w:sz w:val="16"/>
          <w:szCs w:val="16"/>
          <w:lang w:val="es-AR"/>
        </w:rPr>
        <w:t>rt. 52 -</w:t>
      </w:r>
      <w:r w:rsidRPr="00F26470">
        <w:rPr>
          <w:rFonts w:ascii="Verdana" w:hAnsi="Verdana"/>
          <w:color w:val="000000"/>
          <w:sz w:val="16"/>
          <w:szCs w:val="16"/>
          <w:lang w:val="es-AR"/>
        </w:rPr>
        <w:t> </w:t>
      </w:r>
      <w:proofErr w:type="spellStart"/>
      <w:r w:rsidRPr="00F26470">
        <w:rPr>
          <w:rFonts w:ascii="Verdana" w:hAnsi="Verdana"/>
          <w:color w:val="000000"/>
          <w:sz w:val="16"/>
          <w:szCs w:val="16"/>
          <w:lang w:val="es-AR"/>
        </w:rPr>
        <w:t>Modifícase</w:t>
      </w:r>
      <w:proofErr w:type="spellEnd"/>
      <w:r w:rsidRPr="00F26470">
        <w:rPr>
          <w:rFonts w:ascii="Verdana" w:hAnsi="Verdana"/>
          <w:color w:val="000000"/>
          <w:sz w:val="16"/>
          <w:szCs w:val="16"/>
          <w:lang w:val="es-AR"/>
        </w:rPr>
        <w:t xml:space="preserve"> el </w:t>
      </w:r>
      <w:hyperlink r:id="rId7" w:anchor="Articulo4" w:tgtFrame="_blank" w:history="1">
        <w:r w:rsidRPr="00F26470">
          <w:rPr>
            <w:rFonts w:ascii="Verdana" w:hAnsi="Verdana"/>
            <w:color w:val="0000FF"/>
            <w:sz w:val="16"/>
            <w:szCs w:val="16"/>
            <w:u w:val="single"/>
            <w:lang w:val="es-AR"/>
          </w:rPr>
          <w:t>artículo 4 de la ley 5083</w:t>
        </w:r>
      </w:hyperlink>
      <w:r w:rsidRPr="00F26470">
        <w:rPr>
          <w:rFonts w:ascii="Verdana" w:hAnsi="Verdana"/>
          <w:color w:val="000000"/>
          <w:sz w:val="16"/>
          <w:szCs w:val="16"/>
          <w:lang w:val="es-AR"/>
        </w:rPr>
        <w:t> de la forma que a continuación se indica:</w:t>
      </w:r>
    </w:p>
    <w:p w:rsidR="00901AFF" w:rsidRPr="00F26470" w:rsidRDefault="00901AFF" w:rsidP="00901AFF">
      <w:pPr>
        <w:spacing w:before="80"/>
        <w:ind w:left="105" w:right="105"/>
        <w:rPr>
          <w:rFonts w:ascii="Verdana" w:hAnsi="Verdana"/>
          <w:color w:val="000000"/>
          <w:sz w:val="16"/>
          <w:szCs w:val="16"/>
          <w:lang w:val="es-AR"/>
        </w:rPr>
      </w:pPr>
      <w:r w:rsidRPr="00F26470">
        <w:rPr>
          <w:rFonts w:ascii="Verdana" w:hAnsi="Verdana"/>
          <w:color w:val="000000"/>
          <w:sz w:val="16"/>
          <w:szCs w:val="16"/>
          <w:lang w:val="es-AR"/>
        </w:rPr>
        <w:t>“En el caso de contribuyentes cuya sumatoria mensual de bases imponibles, declaradas o determinadas por la Administración General de Rentas, incluidas las que correspondieran a las gravadas, exentas y no gravadas, atribuibles a la totalidad de actividades desarrolladas, cualquiera sea la jurisdicción en que se lleve a cabo las mismas, superen la suma de pesos doce millones ($ 12.000.000) mensuales sus respectivas alícuotas de tributación se incrementarán en un treinta por ciento (30%). Cuando las bases imponibles antes descriptas, superen la suma de pesos setenta y cinco millones ($ 75.000.000) mensuales sus alícuotas de tributación se incrementarán en un cincuenta por ciento (50%). Para el caso de contribuyentes que tributen por el penúltimo párrafo del </w:t>
      </w:r>
      <w:hyperlink r:id="rId8" w:anchor="I_P_Catamarca_CT_Art_178" w:tgtFrame="_blank" w:history="1">
        <w:r w:rsidRPr="00F26470">
          <w:rPr>
            <w:rFonts w:ascii="Verdana" w:hAnsi="Verdana"/>
            <w:color w:val="0000FF"/>
            <w:sz w:val="16"/>
            <w:szCs w:val="16"/>
            <w:u w:val="single"/>
            <w:lang w:val="es-AR"/>
          </w:rPr>
          <w:t>artículo 178 del Código Tributario</w:t>
        </w:r>
      </w:hyperlink>
      <w:r w:rsidRPr="00F26470">
        <w:rPr>
          <w:rFonts w:ascii="Verdana" w:hAnsi="Verdana"/>
          <w:color w:val="000000"/>
          <w:sz w:val="16"/>
          <w:szCs w:val="16"/>
          <w:lang w:val="es-AR"/>
        </w:rPr>
        <w:t> y sus modificatorias, y estos ingresos superen un millón ochocientos mil ($ 1.800.000) mensual, las alícuotas de tributación se incrementarán en un cuarenta por ciento (40%)”.</w:t>
      </w:r>
    </w:p>
    <w:p w:rsidR="00901AFF" w:rsidRDefault="00901AFF" w:rsidP="00901AF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03A4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01AFF" w:rsidRPr="00DA066C" w:rsidRDefault="00901AFF" w:rsidP="00901AFF">
      <w:pPr>
        <w:spacing w:before="100" w:beforeAutospacing="1" w:after="100" w:afterAutospacing="1"/>
        <w:rPr>
          <w:rFonts w:ascii="Verdana" w:hAnsi="Verdana"/>
          <w:b/>
          <w:sz w:val="18"/>
          <w:szCs w:val="18"/>
          <w:lang w:val="es-AR"/>
        </w:rPr>
      </w:pPr>
      <w:r w:rsidRPr="00DA066C">
        <w:rPr>
          <w:rFonts w:ascii="Verdana" w:hAnsi="Verdana"/>
          <w:b/>
          <w:sz w:val="18"/>
          <w:szCs w:val="18"/>
          <w:lang w:val="es-AR"/>
        </w:rPr>
        <w:t>(**) Beneficios Micro, Pequeña y Mediana Empresa de la provincia (Ley 5024)</w:t>
      </w:r>
    </w:p>
    <w:p w:rsidR="00901AFF" w:rsidRPr="00AF06D6" w:rsidRDefault="00901AFF" w:rsidP="00901AFF">
      <w:pPr>
        <w:spacing w:after="119"/>
        <w:ind w:left="119" w:right="119"/>
        <w:rPr>
          <w:rFonts w:ascii="Verdana" w:hAnsi="Verdana"/>
          <w:color w:val="000000"/>
          <w:sz w:val="16"/>
          <w:szCs w:val="16"/>
          <w:lang w:val="es-AR"/>
        </w:rPr>
      </w:pPr>
      <w:r w:rsidRPr="00AF06D6">
        <w:rPr>
          <w:rFonts w:ascii="Verdana" w:hAnsi="Verdana"/>
          <w:b/>
          <w:bCs/>
          <w:color w:val="000000"/>
          <w:sz w:val="16"/>
          <w:szCs w:val="16"/>
          <w:lang w:val="es-AR"/>
        </w:rPr>
        <w:t>Artículo</w:t>
      </w:r>
      <w:r w:rsidRPr="00AF06D6">
        <w:rPr>
          <w:rFonts w:ascii="Verdana" w:hAnsi="Verdana"/>
          <w:b/>
          <w:bCs/>
          <w:color w:val="000000"/>
          <w:sz w:val="16"/>
          <w:lang w:val="es-AR"/>
        </w:rPr>
        <w:t> 1</w:t>
      </w:r>
      <w:r w:rsidRPr="00AF06D6">
        <w:rPr>
          <w:rFonts w:ascii="Verdana" w:hAnsi="Verdana"/>
          <w:b/>
          <w:bCs/>
          <w:color w:val="000000"/>
          <w:sz w:val="16"/>
          <w:szCs w:val="16"/>
          <w:lang w:val="es-AR"/>
        </w:rPr>
        <w:t>º</w:t>
      </w:r>
      <w:r w:rsidRPr="00AF06D6">
        <w:rPr>
          <w:rFonts w:ascii="Verdana" w:hAnsi="Verdana"/>
          <w:b/>
          <w:bCs/>
          <w:color w:val="000000"/>
          <w:sz w:val="16"/>
          <w:lang w:val="es-AR"/>
        </w:rPr>
        <w:t> </w:t>
      </w:r>
      <w:r w:rsidRPr="00AF06D6">
        <w:rPr>
          <w:rFonts w:ascii="Verdana" w:hAnsi="Verdana"/>
          <w:color w:val="000000"/>
          <w:sz w:val="16"/>
          <w:lang w:val="es-AR"/>
        </w:rPr>
        <w:t>- Se denomina micro, pequeña y mediana empresa -MiPyME- a los efectos de la presente ley, a todos aquellos sujetos que respondan a los siguientes requisitos fundamentales:</w:t>
      </w:r>
    </w:p>
    <w:p w:rsidR="00901AFF" w:rsidRPr="00C00D0C" w:rsidRDefault="00901AFF" w:rsidP="00901AFF">
      <w:pPr>
        <w:spacing w:before="80" w:after="119"/>
        <w:ind w:left="305" w:right="119"/>
        <w:rPr>
          <w:rFonts w:ascii="Verdana" w:hAnsi="Verdana"/>
          <w:b/>
          <w:color w:val="000000"/>
          <w:sz w:val="16"/>
          <w:szCs w:val="16"/>
          <w:lang w:val="es-AR"/>
        </w:rPr>
      </w:pPr>
      <w:r w:rsidRPr="00AF06D6">
        <w:rPr>
          <w:rFonts w:ascii="Verdana" w:hAnsi="Verdana"/>
          <w:color w:val="000000"/>
          <w:sz w:val="16"/>
          <w:szCs w:val="16"/>
          <w:lang w:val="es-AR"/>
        </w:rPr>
        <w:t xml:space="preserve">a) Que </w:t>
      </w:r>
      <w:r w:rsidRPr="00C00D0C">
        <w:rPr>
          <w:rFonts w:ascii="Verdana" w:hAnsi="Verdana"/>
          <w:b/>
          <w:color w:val="000000"/>
          <w:sz w:val="16"/>
          <w:szCs w:val="16"/>
          <w:lang w:val="es-AR"/>
        </w:rPr>
        <w:t>su domicilio legal o real y fiscal, así como la administración y el asiento principal de sus negocios se encuentren dentro de la Provincia.</w:t>
      </w:r>
    </w:p>
    <w:p w:rsidR="00901AFF" w:rsidRPr="00AF06D6" w:rsidRDefault="00901AFF" w:rsidP="00901AFF">
      <w:pPr>
        <w:spacing w:before="80" w:after="119"/>
        <w:ind w:left="305" w:right="119"/>
        <w:rPr>
          <w:rFonts w:ascii="Verdana" w:hAnsi="Verdana"/>
          <w:color w:val="000000"/>
          <w:sz w:val="16"/>
          <w:szCs w:val="16"/>
          <w:lang w:val="es-AR"/>
        </w:rPr>
      </w:pPr>
      <w:r w:rsidRPr="00AF06D6">
        <w:rPr>
          <w:rFonts w:ascii="Verdana" w:hAnsi="Verdana"/>
          <w:color w:val="000000"/>
          <w:sz w:val="16"/>
          <w:szCs w:val="16"/>
          <w:lang w:val="es-AR"/>
        </w:rPr>
        <w:t>b) Que sus ventas mensuales (sin IVA cuando se trate de responsables inscriptos) no superen la suma de $ 1.000.000 (un millón de pesos).</w:t>
      </w:r>
    </w:p>
    <w:p w:rsidR="00901AFF" w:rsidRPr="00AF06D6" w:rsidRDefault="00901AFF" w:rsidP="00901AFF">
      <w:pPr>
        <w:spacing w:after="119"/>
        <w:ind w:left="119" w:right="119"/>
        <w:rPr>
          <w:rFonts w:ascii="Verdana" w:hAnsi="Verdana"/>
          <w:color w:val="000000"/>
          <w:sz w:val="16"/>
          <w:szCs w:val="16"/>
          <w:lang w:val="es-AR"/>
        </w:rPr>
      </w:pPr>
      <w:r w:rsidRPr="00AF06D6">
        <w:rPr>
          <w:rFonts w:ascii="Verdana" w:hAnsi="Verdana"/>
          <w:b/>
          <w:bCs/>
          <w:color w:val="000000"/>
          <w:sz w:val="16"/>
          <w:szCs w:val="16"/>
          <w:lang w:val="es-AR"/>
        </w:rPr>
        <w:t>Art.</w:t>
      </w:r>
      <w:r w:rsidRPr="00AF06D6">
        <w:rPr>
          <w:rFonts w:ascii="Verdana" w:hAnsi="Verdana"/>
          <w:b/>
          <w:bCs/>
          <w:color w:val="000000"/>
          <w:sz w:val="16"/>
          <w:lang w:val="es-AR"/>
        </w:rPr>
        <w:t> 9</w:t>
      </w:r>
      <w:r w:rsidRPr="00AF06D6">
        <w:rPr>
          <w:rFonts w:ascii="Verdana" w:hAnsi="Verdana"/>
          <w:b/>
          <w:bCs/>
          <w:color w:val="000000"/>
          <w:sz w:val="16"/>
          <w:szCs w:val="16"/>
          <w:lang w:val="es-AR"/>
        </w:rPr>
        <w:t>º</w:t>
      </w:r>
      <w:r w:rsidRPr="00AF06D6">
        <w:rPr>
          <w:rFonts w:ascii="Verdana" w:hAnsi="Verdana"/>
          <w:color w:val="000000"/>
          <w:sz w:val="16"/>
          <w:lang w:val="es-AR"/>
        </w:rPr>
        <w:t> - </w:t>
      </w:r>
      <w:proofErr w:type="spellStart"/>
      <w:r w:rsidRPr="00AF06D6">
        <w:rPr>
          <w:rFonts w:ascii="Verdana" w:hAnsi="Verdana"/>
          <w:color w:val="000000"/>
          <w:sz w:val="16"/>
          <w:lang w:val="es-AR"/>
        </w:rPr>
        <w:t>Establécese</w:t>
      </w:r>
      <w:proofErr w:type="spellEnd"/>
      <w:r w:rsidRPr="00AF06D6">
        <w:rPr>
          <w:rFonts w:ascii="Verdana" w:hAnsi="Verdana"/>
          <w:color w:val="000000"/>
          <w:sz w:val="16"/>
          <w:lang w:val="es-AR"/>
        </w:rPr>
        <w:t> para las micro, pequeñas y medianas empresas, dedicadas a la construcción, comercio y/o servicio, una exención parcial del impuesto sobre los ingresos brutos, de acuerdo a la siguiente escala:</w:t>
      </w:r>
    </w:p>
    <w:tbl>
      <w:tblPr>
        <w:tblW w:w="1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1"/>
      </w:tblGrid>
      <w:tr w:rsidR="00901AFF" w:rsidRPr="00AF06D6" w:rsidTr="007505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302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1950"/>
              <w:gridCol w:w="2631"/>
            </w:tblGrid>
            <w:tr w:rsidR="00901AFF" w:rsidRPr="00AF06D6" w:rsidTr="00750591">
              <w:tc>
                <w:tcPr>
                  <w:tcW w:w="0" w:type="auto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Verdana" w:hAnsi="Verdana"/>
                      <w:sz w:val="16"/>
                      <w:szCs w:val="16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Con ingresos brutos mensuales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Reducción parcial del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Mayores a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Mayores a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</w:tcPr>
                <w:p w:rsidR="00901AFF" w:rsidRPr="00AF06D6" w:rsidRDefault="00901AFF" w:rsidP="00750591">
                  <w:pPr>
                    <w:rPr>
                      <w:rFonts w:ascii="Calibri" w:hAnsi="Calibri"/>
                      <w:lang w:val="es-AR"/>
                    </w:rPr>
                  </w:pP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$ 2.000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30%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25%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lastRenderedPageBreak/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20%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$ 500.000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15%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$ 500.000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$ 1.000.000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10%</w:t>
                  </w:r>
                </w:p>
              </w:tc>
            </w:tr>
          </w:tbl>
          <w:p w:rsidR="00901AFF" w:rsidRPr="00AF06D6" w:rsidRDefault="00901AFF" w:rsidP="00750591">
            <w:pPr>
              <w:ind w:left="119" w:right="119"/>
              <w:jc w:val="center"/>
              <w:rPr>
                <w:rFonts w:ascii="Calibri" w:hAnsi="Calibri"/>
                <w:color w:val="000000"/>
                <w:lang w:val="es-AR"/>
              </w:rPr>
            </w:pPr>
            <w:r w:rsidRPr="00AF06D6">
              <w:rPr>
                <w:rFonts w:ascii="Calibri" w:hAnsi="Calibri"/>
                <w:color w:val="000000"/>
                <w:lang w:val="es-AR"/>
              </w:rPr>
              <w:t> </w:t>
            </w:r>
          </w:p>
        </w:tc>
      </w:tr>
    </w:tbl>
    <w:p w:rsidR="00901AFF" w:rsidRPr="00AF06D6" w:rsidRDefault="00901AFF" w:rsidP="00901AFF">
      <w:pPr>
        <w:spacing w:after="119"/>
        <w:ind w:left="119" w:right="119"/>
        <w:rPr>
          <w:rFonts w:ascii="Verdana" w:hAnsi="Verdana"/>
          <w:color w:val="000000"/>
          <w:sz w:val="16"/>
          <w:szCs w:val="16"/>
          <w:lang w:val="es-AR"/>
        </w:rPr>
      </w:pPr>
      <w:r w:rsidRPr="00AF06D6">
        <w:rPr>
          <w:rFonts w:ascii="Verdana" w:hAnsi="Verdana"/>
          <w:color w:val="000000"/>
          <w:sz w:val="16"/>
          <w:lang w:val="es-AR"/>
        </w:rPr>
        <w:lastRenderedPageBreak/>
        <w:t>Cuando la actividad desarrollada sea de comisionista, consignatario, intermediario, consignatario de hacienda, agencia de publicidad, o aquellas actividades cuyas bases imponibles están constituidas por la diferencia entre el precio de compra y de venta, o la determinación de la base imponible esté configurada como casos especiales en el Código Tributario, la exención parcial será de acuerdo a la siguiente escala:</w:t>
      </w:r>
    </w:p>
    <w:tbl>
      <w:tblPr>
        <w:tblW w:w="175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1"/>
      </w:tblGrid>
      <w:tr w:rsidR="00901AFF" w:rsidRPr="00AF06D6" w:rsidTr="0075059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302" w:type="dxa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1836"/>
              <w:gridCol w:w="2631"/>
            </w:tblGrid>
            <w:tr w:rsidR="00901AFF" w:rsidRPr="00AF06D6" w:rsidTr="00750591">
              <w:tc>
                <w:tcPr>
                  <w:tcW w:w="0" w:type="auto"/>
                  <w:gridSpan w:val="2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Verdana" w:hAnsi="Verdana"/>
                      <w:sz w:val="16"/>
                      <w:szCs w:val="16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Con ingresos brutos mensuales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Reducción parcial del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Mayores a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shd w:val="clear" w:color="auto" w:fill="C0C0C0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Mayores a</w:t>
                  </w:r>
                </w:p>
              </w:tc>
              <w:tc>
                <w:tcPr>
                  <w:tcW w:w="0" w:type="auto"/>
                  <w:vMerge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vAlign w:val="center"/>
                </w:tcPr>
                <w:p w:rsidR="00901AFF" w:rsidRPr="00AF06D6" w:rsidRDefault="00901AFF" w:rsidP="00750591">
                  <w:pPr>
                    <w:rPr>
                      <w:rFonts w:ascii="Calibri" w:hAnsi="Calibri"/>
                      <w:lang w:val="es-AR"/>
                    </w:rPr>
                  </w:pP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$ 2.000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$ 4.000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30%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  $ 4.000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25%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$ 20.000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20%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$ 50.000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15%</w:t>
                  </w:r>
                </w:p>
              </w:tc>
            </w:tr>
            <w:tr w:rsidR="00901AFF" w:rsidRPr="00AF06D6" w:rsidTr="00750591"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$ 100.000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$ 200.000</w:t>
                  </w:r>
                </w:p>
              </w:tc>
              <w:tc>
                <w:tcPr>
                  <w:tcW w:w="0" w:type="auto"/>
                  <w:tcBorders>
                    <w:top w:val="inset" w:sz="6" w:space="0" w:color="000000"/>
                    <w:left w:val="inset" w:sz="6" w:space="0" w:color="000000"/>
                    <w:bottom w:val="inset" w:sz="6" w:space="0" w:color="000000"/>
                    <w:right w:val="inset" w:sz="6" w:space="0" w:color="000000"/>
                  </w:tcBorders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</w:tcPr>
                <w:p w:rsidR="00901AFF" w:rsidRPr="00AF06D6" w:rsidRDefault="00901AFF" w:rsidP="00750591">
                  <w:pPr>
                    <w:ind w:left="119" w:right="119"/>
                    <w:rPr>
                      <w:rFonts w:ascii="Calibri" w:hAnsi="Calibri"/>
                      <w:lang w:val="es-AR"/>
                    </w:rPr>
                  </w:pPr>
                  <w:r w:rsidRPr="00AF06D6">
                    <w:rPr>
                      <w:rFonts w:ascii="Verdana" w:hAnsi="Verdana"/>
                      <w:sz w:val="16"/>
                      <w:lang w:val="es-AR"/>
                    </w:rPr>
                    <w:t>10%</w:t>
                  </w:r>
                </w:p>
              </w:tc>
            </w:tr>
          </w:tbl>
          <w:p w:rsidR="00901AFF" w:rsidRPr="00AF06D6" w:rsidRDefault="00901AFF" w:rsidP="00750591">
            <w:pPr>
              <w:ind w:left="119" w:right="119"/>
              <w:jc w:val="center"/>
              <w:rPr>
                <w:rFonts w:ascii="Calibri" w:hAnsi="Calibri"/>
                <w:color w:val="000000"/>
                <w:lang w:val="es-AR"/>
              </w:rPr>
            </w:pPr>
            <w:r w:rsidRPr="00AF06D6">
              <w:rPr>
                <w:rFonts w:ascii="Calibri" w:hAnsi="Calibri"/>
                <w:color w:val="000000"/>
                <w:lang w:val="es-AR"/>
              </w:rPr>
              <w:t> </w:t>
            </w:r>
          </w:p>
        </w:tc>
      </w:tr>
    </w:tbl>
    <w:p w:rsidR="00901AFF" w:rsidRPr="00AF06D6" w:rsidRDefault="00901AFF" w:rsidP="00901AFF">
      <w:pPr>
        <w:spacing w:after="119"/>
        <w:ind w:left="119" w:right="119"/>
        <w:rPr>
          <w:rFonts w:ascii="Verdana" w:hAnsi="Verdana"/>
          <w:color w:val="000000"/>
          <w:sz w:val="16"/>
          <w:szCs w:val="16"/>
          <w:lang w:val="es-AR"/>
        </w:rPr>
      </w:pPr>
      <w:bookmarkStart w:id="1" w:name="I_P_Catamarca_LP_5024_Art_10"/>
      <w:bookmarkEnd w:id="1"/>
      <w:r w:rsidRPr="00AF06D6">
        <w:rPr>
          <w:rFonts w:ascii="Verdana" w:hAnsi="Verdana"/>
          <w:b/>
          <w:bCs/>
          <w:color w:val="000000"/>
          <w:sz w:val="16"/>
          <w:szCs w:val="16"/>
          <w:lang w:val="es-AR"/>
        </w:rPr>
        <w:t>Art.</w:t>
      </w:r>
      <w:r w:rsidRPr="00AF06D6">
        <w:rPr>
          <w:rFonts w:ascii="Verdana" w:hAnsi="Verdana"/>
          <w:b/>
          <w:bCs/>
          <w:color w:val="000000"/>
          <w:sz w:val="16"/>
          <w:lang w:val="es-AR"/>
        </w:rPr>
        <w:t> 10</w:t>
      </w:r>
      <w:r w:rsidRPr="00AF06D6">
        <w:rPr>
          <w:rFonts w:ascii="Verdana" w:hAnsi="Verdana"/>
          <w:color w:val="000000"/>
          <w:sz w:val="16"/>
          <w:lang w:val="es-AR"/>
        </w:rPr>
        <w:t> - </w:t>
      </w:r>
      <w:proofErr w:type="spellStart"/>
      <w:r w:rsidRPr="00AF06D6">
        <w:rPr>
          <w:rFonts w:ascii="Verdana" w:hAnsi="Verdana"/>
          <w:color w:val="000000"/>
          <w:sz w:val="16"/>
          <w:lang w:val="es-AR"/>
        </w:rPr>
        <w:t>Establécese</w:t>
      </w:r>
      <w:proofErr w:type="spellEnd"/>
      <w:r w:rsidRPr="00AF06D6">
        <w:rPr>
          <w:rFonts w:ascii="Verdana" w:hAnsi="Verdana"/>
          <w:color w:val="000000"/>
          <w:sz w:val="16"/>
          <w:lang w:val="es-AR"/>
        </w:rPr>
        <w:t> una reducción del 5% (cinco por ciento), para las micro, pequeñas y medianas empresas, que abonen en término el impuesto sobre los ingresos brutos.</w:t>
      </w:r>
    </w:p>
    <w:p w:rsidR="00901AFF" w:rsidRPr="00E07983" w:rsidRDefault="00901AFF" w:rsidP="00901AFF">
      <w:pPr>
        <w:spacing w:before="100" w:beforeAutospacing="1" w:after="100" w:afterAutospacing="1"/>
        <w:rPr>
          <w:rFonts w:ascii="Verdana" w:hAnsi="Verdana"/>
          <w:sz w:val="18"/>
          <w:szCs w:val="18"/>
          <w:lang w:val="es-AR"/>
        </w:rPr>
      </w:pPr>
    </w:p>
    <w:p w:rsidR="00A64D45" w:rsidRDefault="00A64D45" w:rsidP="00901AFF">
      <w:pPr>
        <w:jc w:val="center"/>
        <w:rPr>
          <w:rFonts w:ascii="Arial" w:hAnsi="Arial" w:cs="Arial"/>
          <w:b/>
          <w:sz w:val="28"/>
          <w:szCs w:val="28"/>
        </w:rPr>
      </w:pPr>
    </w:p>
    <w:sectPr w:rsidR="00A64D45" w:rsidSect="003B62E5">
      <w:headerReference w:type="default" r:id="rId9"/>
      <w:pgSz w:w="11907" w:h="16840" w:code="9"/>
      <w:pgMar w:top="3232" w:right="1417" w:bottom="1463" w:left="2268" w:header="709" w:footer="709" w:gutter="0"/>
      <w:paperSrc w:first="1" w:other="1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68" w:rsidRDefault="007C7168" w:rsidP="007C7168">
      <w:r>
        <w:separator/>
      </w:r>
    </w:p>
  </w:endnote>
  <w:endnote w:type="continuationSeparator" w:id="0">
    <w:p w:rsidR="007C7168" w:rsidRDefault="007C7168" w:rsidP="007C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68" w:rsidRDefault="007C7168" w:rsidP="007C7168">
      <w:r>
        <w:separator/>
      </w:r>
    </w:p>
  </w:footnote>
  <w:footnote w:type="continuationSeparator" w:id="0">
    <w:p w:rsidR="007C7168" w:rsidRDefault="007C7168" w:rsidP="007C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68" w:rsidRPr="007C7168" w:rsidRDefault="007C7168" w:rsidP="007C7168">
    <w:pPr>
      <w:pStyle w:val="Encabezado"/>
    </w:pPr>
    <w:r w:rsidRPr="007C7168">
      <w:rPr>
        <w:noProof/>
        <w:lang w:val="es-AR"/>
      </w:rPr>
      <w:drawing>
        <wp:inline distT="0" distB="0" distL="0" distR="0">
          <wp:extent cx="2026920" cy="10134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7C3"/>
    <w:multiLevelType w:val="hybridMultilevel"/>
    <w:tmpl w:val="A88ED6D0"/>
    <w:lvl w:ilvl="0" w:tplc="1F3A42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3E6A"/>
    <w:multiLevelType w:val="hybridMultilevel"/>
    <w:tmpl w:val="0224702A"/>
    <w:lvl w:ilvl="0" w:tplc="E9DA0F8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EBD0D20"/>
    <w:multiLevelType w:val="hybridMultilevel"/>
    <w:tmpl w:val="851274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762F8"/>
    <w:multiLevelType w:val="hybridMultilevel"/>
    <w:tmpl w:val="0DD4E294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044B"/>
    <w:multiLevelType w:val="hybridMultilevel"/>
    <w:tmpl w:val="A02E6E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0FC5"/>
    <w:multiLevelType w:val="hybridMultilevel"/>
    <w:tmpl w:val="7A8A9026"/>
    <w:lvl w:ilvl="0" w:tplc="0C0A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sz w:val="22"/>
        <w:szCs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A0288"/>
    <w:multiLevelType w:val="hybridMultilevel"/>
    <w:tmpl w:val="B86A2A4E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D5A3C"/>
    <w:multiLevelType w:val="hybridMultilevel"/>
    <w:tmpl w:val="30BC01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61395"/>
    <w:multiLevelType w:val="hybridMultilevel"/>
    <w:tmpl w:val="12ACA1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56"/>
    <w:rsid w:val="00001756"/>
    <w:rsid w:val="00015FBB"/>
    <w:rsid w:val="00017116"/>
    <w:rsid w:val="00084810"/>
    <w:rsid w:val="000A037A"/>
    <w:rsid w:val="00103D11"/>
    <w:rsid w:val="001051DB"/>
    <w:rsid w:val="001110B3"/>
    <w:rsid w:val="001615CE"/>
    <w:rsid w:val="00194AEE"/>
    <w:rsid w:val="001F255C"/>
    <w:rsid w:val="002C119C"/>
    <w:rsid w:val="002C3828"/>
    <w:rsid w:val="002E0225"/>
    <w:rsid w:val="00310F7E"/>
    <w:rsid w:val="003929A9"/>
    <w:rsid w:val="003A07E6"/>
    <w:rsid w:val="003A115E"/>
    <w:rsid w:val="003B62E5"/>
    <w:rsid w:val="003D2043"/>
    <w:rsid w:val="003E5105"/>
    <w:rsid w:val="00425FF7"/>
    <w:rsid w:val="00430745"/>
    <w:rsid w:val="004811C1"/>
    <w:rsid w:val="0048594D"/>
    <w:rsid w:val="004A6B4B"/>
    <w:rsid w:val="00543CF6"/>
    <w:rsid w:val="00580660"/>
    <w:rsid w:val="00591F7A"/>
    <w:rsid w:val="005E111D"/>
    <w:rsid w:val="00606B7E"/>
    <w:rsid w:val="006307C1"/>
    <w:rsid w:val="00657964"/>
    <w:rsid w:val="00682765"/>
    <w:rsid w:val="00690C2D"/>
    <w:rsid w:val="006955E3"/>
    <w:rsid w:val="0069737F"/>
    <w:rsid w:val="006D7B9C"/>
    <w:rsid w:val="007161A5"/>
    <w:rsid w:val="007C7168"/>
    <w:rsid w:val="007E7821"/>
    <w:rsid w:val="007F6012"/>
    <w:rsid w:val="00822470"/>
    <w:rsid w:val="0083335D"/>
    <w:rsid w:val="00834D33"/>
    <w:rsid w:val="00897A05"/>
    <w:rsid w:val="008A51DC"/>
    <w:rsid w:val="008E4875"/>
    <w:rsid w:val="008F0A1B"/>
    <w:rsid w:val="00901959"/>
    <w:rsid w:val="00901AFF"/>
    <w:rsid w:val="00936424"/>
    <w:rsid w:val="00966E72"/>
    <w:rsid w:val="00987644"/>
    <w:rsid w:val="00991E2F"/>
    <w:rsid w:val="009E458A"/>
    <w:rsid w:val="009E5FFB"/>
    <w:rsid w:val="009F1341"/>
    <w:rsid w:val="00A011A0"/>
    <w:rsid w:val="00A55517"/>
    <w:rsid w:val="00A64D45"/>
    <w:rsid w:val="00A676C5"/>
    <w:rsid w:val="00A75DBC"/>
    <w:rsid w:val="00A9675F"/>
    <w:rsid w:val="00AD7AD6"/>
    <w:rsid w:val="00B50329"/>
    <w:rsid w:val="00B9296B"/>
    <w:rsid w:val="00B973C9"/>
    <w:rsid w:val="00C01294"/>
    <w:rsid w:val="00C6083B"/>
    <w:rsid w:val="00C64AA0"/>
    <w:rsid w:val="00C86033"/>
    <w:rsid w:val="00D31822"/>
    <w:rsid w:val="00D650F0"/>
    <w:rsid w:val="00D73962"/>
    <w:rsid w:val="00D94573"/>
    <w:rsid w:val="00D94B6C"/>
    <w:rsid w:val="00DA246E"/>
    <w:rsid w:val="00DB1CF7"/>
    <w:rsid w:val="00DB540A"/>
    <w:rsid w:val="00DF2A4F"/>
    <w:rsid w:val="00E2396E"/>
    <w:rsid w:val="00E60287"/>
    <w:rsid w:val="00EF7BFD"/>
    <w:rsid w:val="00F01D15"/>
    <w:rsid w:val="00F52CAA"/>
    <w:rsid w:val="00F75F74"/>
    <w:rsid w:val="00F84809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F46ADC"/>
  <w14:defaultImageDpi w14:val="0"/>
  <w15:docId w15:val="{63128BD5-2479-4D88-8BDA-B506043D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  <w:jc w:val="both"/>
    </w:pPr>
    <w:rPr>
      <w:rFonts w:ascii="Century Gothic" w:hAnsi="Century Gothic" w:cs="Century Gothic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rcularTema">
    <w:name w:val="CircularTema"/>
    <w:basedOn w:val="Normal"/>
    <w:uiPriority w:val="99"/>
    <w:pPr>
      <w:jc w:val="center"/>
    </w:pPr>
    <w:rPr>
      <w:u w:val="single"/>
    </w:rPr>
  </w:style>
  <w:style w:type="paragraph" w:customStyle="1" w:styleId="CircularTexto">
    <w:name w:val="CircularTexto"/>
    <w:basedOn w:val="Normal"/>
    <w:uiPriority w:val="99"/>
  </w:style>
  <w:style w:type="paragraph" w:customStyle="1" w:styleId="CircularTitulo">
    <w:name w:val="CircularTitulo"/>
    <w:basedOn w:val="Normal"/>
    <w:uiPriority w:val="99"/>
    <w:pPr>
      <w:jc w:val="center"/>
    </w:pPr>
    <w:rPr>
      <w:b/>
      <w:bCs/>
      <w:spacing w:val="100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rsid w:val="00F01D15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168"/>
    <w:rPr>
      <w:rFonts w:ascii="Century Gothic" w:hAnsi="Century Gothic" w:cs="Century Gothic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C71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168"/>
    <w:rPr>
      <w:rFonts w:ascii="Century Gothic" w:hAnsi="Century Gothic" w:cs="Century Gothic"/>
      <w:lang w:val="es-ES_tradnl"/>
    </w:rPr>
  </w:style>
  <w:style w:type="paragraph" w:customStyle="1" w:styleId="encabezadonovedades">
    <w:name w:val="encabezadonovedades"/>
    <w:basedOn w:val="Normal"/>
    <w:rsid w:val="00D94B6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sumarionovedades">
    <w:name w:val="sumarionovedades"/>
    <w:basedOn w:val="Fuentedeprrafopredeter"/>
    <w:rsid w:val="00D94B6C"/>
  </w:style>
  <w:style w:type="character" w:customStyle="1" w:styleId="negritanovedades">
    <w:name w:val="negritanovedades"/>
    <w:rsid w:val="000A037A"/>
  </w:style>
  <w:style w:type="character" w:customStyle="1" w:styleId="artculo">
    <w:name w:val="artculo"/>
    <w:rsid w:val="000A037A"/>
  </w:style>
  <w:style w:type="paragraph" w:customStyle="1" w:styleId="tablacentrado8">
    <w:name w:val="tablacentrado8"/>
    <w:basedOn w:val="Normal"/>
    <w:rsid w:val="00C86033"/>
    <w:pPr>
      <w:widowControl/>
      <w:autoSpaceDE/>
      <w:autoSpaceDN/>
      <w:jc w:val="center"/>
    </w:pPr>
    <w:rPr>
      <w:rFonts w:ascii="Verdana" w:hAnsi="Verdana" w:cs="Verdana"/>
      <w:sz w:val="15"/>
      <w:szCs w:val="15"/>
      <w:lang w:val="es-ES" w:eastAsia="es-ES"/>
    </w:rPr>
  </w:style>
  <w:style w:type="table" w:styleId="Tablaconcuadrcula1">
    <w:name w:val="Table Grid 1"/>
    <w:basedOn w:val="Tablanormal"/>
    <w:uiPriority w:val="99"/>
    <w:rsid w:val="00C86033"/>
    <w:pPr>
      <w:spacing w:after="0" w:line="240" w:lineRule="auto"/>
    </w:pPr>
    <w:rPr>
      <w:rFonts w:ascii="Century Gothic" w:hAnsi="Century Gothic" w:cs="Century Gothic"/>
      <w:sz w:val="20"/>
      <w:szCs w:val="20"/>
      <w:lang w:val="es-ES" w:eastAsia="es-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entury Gothic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8594D"/>
    <w:pPr>
      <w:ind w:left="708"/>
    </w:pPr>
  </w:style>
  <w:style w:type="paragraph" w:styleId="Textonotaalfinal">
    <w:name w:val="endnote text"/>
    <w:basedOn w:val="Normal"/>
    <w:link w:val="TextonotaalfinalCar"/>
    <w:uiPriority w:val="99"/>
    <w:semiHidden/>
    <w:rsid w:val="00E6028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60287"/>
    <w:rPr>
      <w:rFonts w:ascii="Century Gothic" w:hAnsi="Century Gothic" w:cs="Century Gothic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rsid w:val="00E60287"/>
    <w:rPr>
      <w:rFonts w:cs="Times New Roman"/>
      <w:vertAlign w:val="superscript"/>
    </w:rPr>
  </w:style>
  <w:style w:type="paragraph" w:customStyle="1" w:styleId="Default">
    <w:name w:val="Default"/>
    <w:rsid w:val="00A75DBC"/>
    <w:pPr>
      <w:autoSpaceDE w:val="0"/>
      <w:autoSpaceDN w:val="0"/>
      <w:adjustRightInd w:val="0"/>
      <w:spacing w:after="0" w:line="240" w:lineRule="auto"/>
    </w:pPr>
    <w:rPr>
      <w:rFonts w:ascii="Utopia" w:eastAsia="Calibri" w:hAnsi="Utopia" w:cs="Utopia"/>
      <w:color w:val="000000"/>
      <w:sz w:val="24"/>
      <w:szCs w:val="24"/>
      <w:lang w:val="es-ES" w:eastAsia="es-ES"/>
    </w:rPr>
  </w:style>
  <w:style w:type="paragraph" w:customStyle="1" w:styleId="sangrianovedades">
    <w:name w:val="sangria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character" w:customStyle="1" w:styleId="hipervnculo0">
    <w:name w:val="hipervnculo"/>
    <w:rsid w:val="00A75DBC"/>
  </w:style>
  <w:style w:type="paragraph" w:customStyle="1" w:styleId="errepar1erfrancesnovedades">
    <w:name w:val="errepar_1er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errepar2dofrancesnovedades">
    <w:name w:val="errepar_2dofrancesnovedades"/>
    <w:basedOn w:val="Normal"/>
    <w:rsid w:val="00A75DBC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99"/>
    <w:rsid w:val="00A64D45"/>
    <w:pPr>
      <w:widowControl w:val="0"/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repar3erfrancesnovedades">
    <w:name w:val="errepar_3erfrances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extocentradonegritanovedades">
    <w:name w:val="textocentradonegritanovedades"/>
    <w:basedOn w:val="Normal"/>
    <w:rsid w:val="009F1341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  <w:style w:type="paragraph" w:customStyle="1" w:styleId="tablaizquierda8">
    <w:name w:val="tablaizquierda8"/>
    <w:basedOn w:val="Normal"/>
    <w:rsid w:val="00DA246E"/>
    <w:pPr>
      <w:widowControl/>
      <w:autoSpaceDE/>
      <w:autoSpaceDN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lgestion.errepar.com/sitios/eolgestion/Legislacion/20110807085315111.docx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olgestion.errepar.com/sitios/eolgestion/Legislacion/20110807085315361.doc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 informativa</vt:lpstr>
    </vt:vector>
  </TitlesOfParts>
  <Company>L.B.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 informativa</dc:title>
  <dc:subject/>
  <dc:creator>Desconocido</dc:creator>
  <cp:keywords/>
  <dc:description/>
  <cp:lastModifiedBy>FADEEAC</cp:lastModifiedBy>
  <cp:revision>2</cp:revision>
  <dcterms:created xsi:type="dcterms:W3CDTF">2018-01-22T18:53:00Z</dcterms:created>
  <dcterms:modified xsi:type="dcterms:W3CDTF">2018-01-22T18:53:00Z</dcterms:modified>
</cp:coreProperties>
</file>