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168" w:rsidRDefault="007C7168" w:rsidP="007C7168">
      <w:pPr>
        <w:rPr>
          <w:rFonts w:ascii="Arial" w:hAnsi="Arial" w:cs="Arial"/>
          <w:b/>
          <w:bCs/>
          <w:sz w:val="32"/>
        </w:rPr>
      </w:pPr>
      <w:r>
        <w:rPr>
          <w:rFonts w:ascii="Arial" w:hAnsi="Arial" w:cs="Arial"/>
          <w:b/>
          <w:bCs/>
          <w:sz w:val="32"/>
        </w:rPr>
        <w:t>DEPARTAMENTO DE ESTUDIOS TRIBUTARIOS</w:t>
      </w:r>
      <w:r w:rsidR="00897A05">
        <w:rPr>
          <w:rFonts w:ascii="Arial" w:hAnsi="Arial" w:cs="Arial"/>
          <w:b/>
          <w:bCs/>
          <w:sz w:val="32"/>
        </w:rPr>
        <w:t xml:space="preserve"> </w:t>
      </w:r>
    </w:p>
    <w:p w:rsidR="007C7168" w:rsidRDefault="007C7168" w:rsidP="007C7168">
      <w:pPr>
        <w:rPr>
          <w:rFonts w:ascii="Arial" w:hAnsi="Arial" w:cs="Arial"/>
          <w:b/>
          <w:bCs/>
          <w:sz w:val="32"/>
        </w:rPr>
      </w:pPr>
    </w:p>
    <w:p w:rsidR="007C7168" w:rsidRDefault="00C86033" w:rsidP="007C7168">
      <w:pPr>
        <w:jc w:val="right"/>
        <w:rPr>
          <w:rFonts w:ascii="Arial" w:hAnsi="Arial" w:cs="Arial"/>
          <w:b/>
          <w:bCs/>
          <w:sz w:val="36"/>
          <w:szCs w:val="36"/>
        </w:rPr>
      </w:pPr>
      <w:r>
        <w:rPr>
          <w:rFonts w:ascii="Arial" w:hAnsi="Arial" w:cs="Arial"/>
          <w:b/>
          <w:bCs/>
          <w:sz w:val="36"/>
          <w:szCs w:val="36"/>
        </w:rPr>
        <w:t>C20</w:t>
      </w:r>
      <w:r w:rsidR="003B62E5">
        <w:rPr>
          <w:rFonts w:ascii="Arial" w:hAnsi="Arial" w:cs="Arial"/>
          <w:b/>
          <w:bCs/>
          <w:sz w:val="36"/>
          <w:szCs w:val="36"/>
        </w:rPr>
        <w:t>18-0</w:t>
      </w:r>
      <w:r w:rsidR="00251182">
        <w:rPr>
          <w:rFonts w:ascii="Arial" w:hAnsi="Arial" w:cs="Arial"/>
          <w:b/>
          <w:bCs/>
          <w:sz w:val="36"/>
          <w:szCs w:val="36"/>
        </w:rPr>
        <w:t>30</w:t>
      </w:r>
    </w:p>
    <w:p w:rsidR="00310F7E" w:rsidRDefault="00310F7E" w:rsidP="007C7168">
      <w:pPr>
        <w:jc w:val="right"/>
        <w:rPr>
          <w:rFonts w:ascii="Arial" w:hAnsi="Arial" w:cs="Arial"/>
          <w:b/>
          <w:bCs/>
          <w:sz w:val="36"/>
          <w:szCs w:val="36"/>
        </w:rPr>
      </w:pPr>
    </w:p>
    <w:p w:rsidR="009E458A" w:rsidRDefault="009E458A" w:rsidP="009E458A">
      <w:pPr>
        <w:rPr>
          <w:rFonts w:ascii="Arial" w:hAnsi="Arial" w:cs="Arial"/>
          <w:b/>
          <w:bCs/>
          <w:sz w:val="28"/>
          <w:szCs w:val="28"/>
        </w:rPr>
      </w:pPr>
      <w:r>
        <w:rPr>
          <w:rFonts w:ascii="Arial" w:hAnsi="Arial" w:cs="Arial"/>
          <w:b/>
          <w:bCs/>
          <w:sz w:val="28"/>
          <w:szCs w:val="28"/>
        </w:rPr>
        <w:t xml:space="preserve">CIRCULAR INFORMATIVA </w:t>
      </w:r>
      <w:proofErr w:type="spellStart"/>
      <w:r>
        <w:rPr>
          <w:rFonts w:ascii="Arial" w:hAnsi="Arial" w:cs="Arial"/>
          <w:b/>
          <w:bCs/>
          <w:sz w:val="28"/>
          <w:szCs w:val="28"/>
        </w:rPr>
        <w:t>Nº</w:t>
      </w:r>
      <w:proofErr w:type="spellEnd"/>
      <w:r>
        <w:rPr>
          <w:rFonts w:ascii="Arial" w:hAnsi="Arial" w:cs="Arial"/>
          <w:b/>
          <w:bCs/>
          <w:sz w:val="28"/>
          <w:szCs w:val="28"/>
        </w:rPr>
        <w:t xml:space="preserve"> </w:t>
      </w:r>
      <w:r w:rsidR="003B62E5">
        <w:rPr>
          <w:rFonts w:ascii="Arial" w:hAnsi="Arial" w:cs="Arial"/>
          <w:b/>
          <w:bCs/>
          <w:sz w:val="28"/>
          <w:szCs w:val="28"/>
        </w:rPr>
        <w:t>0</w:t>
      </w:r>
      <w:r w:rsidR="00482E4B">
        <w:rPr>
          <w:rFonts w:ascii="Arial" w:hAnsi="Arial" w:cs="Arial"/>
          <w:b/>
          <w:bCs/>
          <w:sz w:val="28"/>
          <w:szCs w:val="28"/>
        </w:rPr>
        <w:t>2</w:t>
      </w:r>
      <w:r w:rsidR="00251182">
        <w:rPr>
          <w:rFonts w:ascii="Arial" w:hAnsi="Arial" w:cs="Arial"/>
          <w:b/>
          <w:bCs/>
          <w:sz w:val="28"/>
          <w:szCs w:val="28"/>
        </w:rPr>
        <w:t>2</w:t>
      </w:r>
      <w:bookmarkStart w:id="0" w:name="_GoBack"/>
      <w:bookmarkEnd w:id="0"/>
    </w:p>
    <w:p w:rsidR="002C119C" w:rsidRDefault="002C119C" w:rsidP="009E458A">
      <w:pPr>
        <w:rPr>
          <w:rFonts w:ascii="Arial" w:hAnsi="Arial" w:cs="Arial"/>
          <w:b/>
          <w:bCs/>
          <w:sz w:val="28"/>
          <w:szCs w:val="28"/>
          <w:lang w:val="es-AR"/>
        </w:rPr>
      </w:pPr>
    </w:p>
    <w:p w:rsidR="00251182" w:rsidRPr="002323C3" w:rsidRDefault="00251182" w:rsidP="00251182">
      <w:pPr>
        <w:jc w:val="center"/>
        <w:rPr>
          <w:b/>
          <w:i/>
          <w:sz w:val="40"/>
          <w:szCs w:val="40"/>
          <w:u w:val="single"/>
        </w:rPr>
      </w:pPr>
      <w:proofErr w:type="gramStart"/>
      <w:r w:rsidRPr="002323C3">
        <w:rPr>
          <w:b/>
          <w:i/>
          <w:sz w:val="40"/>
          <w:szCs w:val="40"/>
          <w:u w:val="single"/>
        </w:rPr>
        <w:t>PROVINCIA</w:t>
      </w:r>
      <w:r>
        <w:rPr>
          <w:b/>
          <w:i/>
          <w:sz w:val="40"/>
          <w:szCs w:val="40"/>
          <w:u w:val="single"/>
        </w:rPr>
        <w:t xml:space="preserve"> </w:t>
      </w:r>
      <w:r w:rsidRPr="002323C3">
        <w:rPr>
          <w:b/>
          <w:i/>
          <w:sz w:val="40"/>
          <w:szCs w:val="40"/>
          <w:u w:val="single"/>
        </w:rPr>
        <w:t xml:space="preserve"> DE</w:t>
      </w:r>
      <w:proofErr w:type="gramEnd"/>
      <w:r>
        <w:rPr>
          <w:b/>
          <w:i/>
          <w:sz w:val="40"/>
          <w:szCs w:val="40"/>
          <w:u w:val="single"/>
        </w:rPr>
        <w:t xml:space="preserve"> </w:t>
      </w:r>
      <w:r w:rsidRPr="002323C3">
        <w:rPr>
          <w:b/>
          <w:i/>
          <w:sz w:val="40"/>
          <w:szCs w:val="40"/>
          <w:u w:val="single"/>
        </w:rPr>
        <w:t xml:space="preserve"> </w:t>
      </w:r>
      <w:r>
        <w:rPr>
          <w:b/>
          <w:i/>
          <w:sz w:val="40"/>
          <w:szCs w:val="40"/>
          <w:u w:val="single"/>
        </w:rPr>
        <w:t>MENDOZA</w:t>
      </w:r>
    </w:p>
    <w:p w:rsidR="00251182" w:rsidRDefault="00251182" w:rsidP="00251182"/>
    <w:p w:rsidR="00251182" w:rsidRPr="00474B09" w:rsidRDefault="00251182" w:rsidP="00251182">
      <w:r w:rsidRPr="00700351">
        <w:rPr>
          <w:i/>
          <w:u w:val="single"/>
        </w:rPr>
        <w:t>CODIFICACION – ALICUOTAS</w:t>
      </w:r>
      <w:r>
        <w:rPr>
          <w:i/>
          <w:u w:val="single"/>
        </w:rPr>
        <w:t xml:space="preserve">  </w:t>
      </w:r>
      <w:r w:rsidRPr="00474B09">
        <w:rPr>
          <w:u w:val="single"/>
        </w:rPr>
        <w:t xml:space="preserve"> LEY IMPOSITIVA </w:t>
      </w:r>
      <w:r>
        <w:rPr>
          <w:u w:val="single"/>
        </w:rPr>
        <w:t>2018</w:t>
      </w:r>
    </w:p>
    <w:p w:rsidR="00251182" w:rsidRDefault="00251182" w:rsidP="00251182"/>
    <w:tbl>
      <w:tblPr>
        <w:tblW w:w="10207" w:type="dxa"/>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3"/>
        <w:gridCol w:w="3402"/>
        <w:gridCol w:w="1560"/>
        <w:gridCol w:w="3118"/>
      </w:tblGrid>
      <w:tr w:rsidR="00251182" w:rsidTr="00251182">
        <w:trPr>
          <w:trHeight w:val="413"/>
        </w:trPr>
        <w:tc>
          <w:tcPr>
            <w:tcW w:w="2127" w:type="dxa"/>
            <w:gridSpan w:val="2"/>
          </w:tcPr>
          <w:p w:rsidR="00251182" w:rsidRDefault="00251182" w:rsidP="006244AE">
            <w:pPr>
              <w:jc w:val="center"/>
              <w:rPr>
                <w:b/>
              </w:rPr>
            </w:pPr>
            <w:r>
              <w:rPr>
                <w:b/>
              </w:rPr>
              <w:t>CODIGO</w:t>
            </w:r>
          </w:p>
        </w:tc>
        <w:tc>
          <w:tcPr>
            <w:tcW w:w="3402" w:type="dxa"/>
            <w:vMerge w:val="restart"/>
          </w:tcPr>
          <w:p w:rsidR="00251182" w:rsidRDefault="00251182" w:rsidP="006244AE">
            <w:pPr>
              <w:jc w:val="center"/>
              <w:rPr>
                <w:b/>
              </w:rPr>
            </w:pPr>
          </w:p>
          <w:p w:rsidR="00251182" w:rsidRPr="007939E7" w:rsidRDefault="00251182" w:rsidP="006244AE">
            <w:pPr>
              <w:jc w:val="center"/>
              <w:rPr>
                <w:b/>
              </w:rPr>
            </w:pPr>
            <w:r w:rsidRPr="007939E7">
              <w:rPr>
                <w:b/>
              </w:rPr>
              <w:t>DESCRIPCION</w:t>
            </w:r>
          </w:p>
        </w:tc>
        <w:tc>
          <w:tcPr>
            <w:tcW w:w="1560" w:type="dxa"/>
            <w:vMerge w:val="restart"/>
          </w:tcPr>
          <w:p w:rsidR="00251182" w:rsidRDefault="00251182" w:rsidP="006244AE">
            <w:pPr>
              <w:jc w:val="center"/>
              <w:rPr>
                <w:b/>
              </w:rPr>
            </w:pPr>
          </w:p>
          <w:p w:rsidR="00251182" w:rsidRDefault="00251182" w:rsidP="006244AE">
            <w:pPr>
              <w:jc w:val="center"/>
              <w:rPr>
                <w:b/>
              </w:rPr>
            </w:pPr>
            <w:r w:rsidRPr="007939E7">
              <w:rPr>
                <w:b/>
              </w:rPr>
              <w:t>ALICUOTA</w:t>
            </w:r>
          </w:p>
          <w:p w:rsidR="00251182" w:rsidRPr="007939E7" w:rsidRDefault="00251182" w:rsidP="006244AE">
            <w:pPr>
              <w:jc w:val="center"/>
              <w:rPr>
                <w:b/>
              </w:rPr>
            </w:pPr>
            <w:r>
              <w:rPr>
                <w:b/>
              </w:rPr>
              <w:t>(*)</w:t>
            </w:r>
          </w:p>
        </w:tc>
        <w:tc>
          <w:tcPr>
            <w:tcW w:w="3118" w:type="dxa"/>
            <w:vMerge w:val="restart"/>
          </w:tcPr>
          <w:p w:rsidR="00251182" w:rsidRDefault="00251182" w:rsidP="006244AE">
            <w:pPr>
              <w:rPr>
                <w:b/>
              </w:rPr>
            </w:pPr>
          </w:p>
          <w:p w:rsidR="00251182" w:rsidRPr="007939E7" w:rsidRDefault="00251182" w:rsidP="006244AE">
            <w:pPr>
              <w:rPr>
                <w:b/>
              </w:rPr>
            </w:pPr>
            <w:r>
              <w:rPr>
                <w:b/>
              </w:rPr>
              <w:t xml:space="preserve">          </w:t>
            </w:r>
            <w:r w:rsidRPr="007939E7">
              <w:rPr>
                <w:b/>
              </w:rPr>
              <w:t>OBSERVACIONES</w:t>
            </w:r>
          </w:p>
        </w:tc>
      </w:tr>
      <w:tr w:rsidR="00251182" w:rsidTr="00251182">
        <w:trPr>
          <w:trHeight w:val="412"/>
        </w:trPr>
        <w:tc>
          <w:tcPr>
            <w:tcW w:w="1134" w:type="dxa"/>
          </w:tcPr>
          <w:p w:rsidR="00251182" w:rsidRDefault="00251182" w:rsidP="006244AE">
            <w:pPr>
              <w:jc w:val="center"/>
              <w:rPr>
                <w:b/>
              </w:rPr>
            </w:pPr>
            <w:r>
              <w:rPr>
                <w:b/>
              </w:rPr>
              <w:t xml:space="preserve">C.M. </w:t>
            </w:r>
          </w:p>
        </w:tc>
        <w:tc>
          <w:tcPr>
            <w:tcW w:w="993" w:type="dxa"/>
          </w:tcPr>
          <w:p w:rsidR="00251182" w:rsidRDefault="00251182" w:rsidP="006244AE">
            <w:pPr>
              <w:jc w:val="center"/>
              <w:rPr>
                <w:b/>
              </w:rPr>
            </w:pPr>
            <w:r>
              <w:rPr>
                <w:b/>
              </w:rPr>
              <w:t>PCIA.</w:t>
            </w:r>
          </w:p>
        </w:tc>
        <w:tc>
          <w:tcPr>
            <w:tcW w:w="3402" w:type="dxa"/>
            <w:vMerge/>
          </w:tcPr>
          <w:p w:rsidR="00251182" w:rsidRDefault="00251182" w:rsidP="006244AE">
            <w:pPr>
              <w:jc w:val="center"/>
              <w:rPr>
                <w:b/>
              </w:rPr>
            </w:pPr>
          </w:p>
        </w:tc>
        <w:tc>
          <w:tcPr>
            <w:tcW w:w="1560" w:type="dxa"/>
            <w:vMerge/>
          </w:tcPr>
          <w:p w:rsidR="00251182" w:rsidRDefault="00251182" w:rsidP="006244AE">
            <w:pPr>
              <w:jc w:val="center"/>
              <w:rPr>
                <w:b/>
              </w:rPr>
            </w:pPr>
          </w:p>
        </w:tc>
        <w:tc>
          <w:tcPr>
            <w:tcW w:w="3118" w:type="dxa"/>
            <w:vMerge/>
          </w:tcPr>
          <w:p w:rsidR="00251182" w:rsidRDefault="00251182" w:rsidP="006244AE">
            <w:pPr>
              <w:rPr>
                <w:b/>
              </w:rPr>
            </w:pPr>
          </w:p>
        </w:tc>
      </w:tr>
      <w:tr w:rsidR="00251182" w:rsidRPr="00B35018" w:rsidTr="00251182">
        <w:trPr>
          <w:trHeight w:val="467"/>
        </w:trPr>
        <w:tc>
          <w:tcPr>
            <w:tcW w:w="1134" w:type="dxa"/>
          </w:tcPr>
          <w:p w:rsidR="00251182" w:rsidRDefault="00251182" w:rsidP="006244AE">
            <w:pPr>
              <w:jc w:val="center"/>
              <w:rPr>
                <w:rFonts w:ascii="Comic Sans MS" w:hAnsi="Comic Sans MS"/>
                <w:sz w:val="20"/>
                <w:szCs w:val="20"/>
              </w:rPr>
            </w:pPr>
            <w:r w:rsidRPr="00B35018">
              <w:rPr>
                <w:rFonts w:ascii="Comic Sans MS" w:hAnsi="Comic Sans MS"/>
                <w:sz w:val="20"/>
                <w:szCs w:val="20"/>
              </w:rPr>
              <w:t>492221</w:t>
            </w:r>
          </w:p>
          <w:p w:rsidR="00251182" w:rsidRPr="00B35018" w:rsidRDefault="00251182" w:rsidP="006244AE">
            <w:pPr>
              <w:jc w:val="center"/>
              <w:rPr>
                <w:rFonts w:ascii="Comic Sans MS" w:hAnsi="Comic Sans MS"/>
                <w:sz w:val="20"/>
                <w:szCs w:val="20"/>
              </w:rPr>
            </w:pPr>
            <w:r>
              <w:rPr>
                <w:rFonts w:ascii="Comic Sans MS" w:hAnsi="Comic Sans MS"/>
                <w:sz w:val="20"/>
                <w:szCs w:val="20"/>
              </w:rPr>
              <w:t>492229</w:t>
            </w: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492230</w:t>
            </w: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492240</w:t>
            </w: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492250</w:t>
            </w: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492280</w:t>
            </w: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492290</w:t>
            </w:r>
          </w:p>
        </w:tc>
        <w:tc>
          <w:tcPr>
            <w:tcW w:w="993" w:type="dxa"/>
          </w:tcPr>
          <w:p w:rsidR="00251182" w:rsidRPr="00B35018"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711 411</w:t>
            </w:r>
          </w:p>
        </w:tc>
        <w:tc>
          <w:tcPr>
            <w:tcW w:w="3402" w:type="dxa"/>
          </w:tcPr>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r w:rsidRPr="00B35018">
              <w:rPr>
                <w:rFonts w:ascii="Comic Sans MS" w:hAnsi="Comic Sans MS"/>
                <w:sz w:val="20"/>
                <w:szCs w:val="20"/>
              </w:rPr>
              <w:t xml:space="preserve">Transporte de carga a corta, media y larga distancia (no incluye servicios de mudanzas) </w:t>
            </w:r>
          </w:p>
        </w:tc>
        <w:tc>
          <w:tcPr>
            <w:tcW w:w="1560" w:type="dxa"/>
          </w:tcPr>
          <w:p w:rsidR="00251182" w:rsidRPr="00B35018"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b/>
                <w:sz w:val="20"/>
                <w:szCs w:val="20"/>
              </w:rPr>
            </w:pPr>
            <w:r w:rsidRPr="00B35018">
              <w:rPr>
                <w:rFonts w:ascii="Comic Sans MS" w:hAnsi="Comic Sans MS"/>
                <w:b/>
                <w:sz w:val="20"/>
                <w:szCs w:val="20"/>
              </w:rPr>
              <w:t>4%</w:t>
            </w:r>
          </w:p>
          <w:p w:rsidR="00251182" w:rsidRPr="00B35018" w:rsidRDefault="00251182" w:rsidP="006244AE">
            <w:pPr>
              <w:jc w:val="center"/>
              <w:rPr>
                <w:rFonts w:ascii="Comic Sans MS" w:hAnsi="Comic Sans MS"/>
                <w:b/>
                <w:sz w:val="20"/>
                <w:szCs w:val="20"/>
              </w:rPr>
            </w:pPr>
            <w:r>
              <w:rPr>
                <w:rFonts w:ascii="Comic Sans MS" w:hAnsi="Comic Sans MS"/>
                <w:b/>
                <w:sz w:val="20"/>
                <w:szCs w:val="20"/>
              </w:rPr>
              <w:t>o 2,50 %</w:t>
            </w:r>
          </w:p>
          <w:p w:rsidR="00251182" w:rsidRPr="00B35018" w:rsidRDefault="00251182" w:rsidP="006244AE">
            <w:pPr>
              <w:jc w:val="center"/>
              <w:rPr>
                <w:rFonts w:ascii="Comic Sans MS" w:hAnsi="Comic Sans MS"/>
                <w:b/>
                <w:sz w:val="20"/>
                <w:szCs w:val="20"/>
              </w:rPr>
            </w:pPr>
            <w:r w:rsidRPr="00B35018">
              <w:rPr>
                <w:rFonts w:ascii="Comic Sans MS" w:hAnsi="Comic Sans MS"/>
                <w:b/>
                <w:sz w:val="20"/>
                <w:szCs w:val="20"/>
              </w:rPr>
              <w:t>(**)</w:t>
            </w:r>
          </w:p>
        </w:tc>
        <w:tc>
          <w:tcPr>
            <w:tcW w:w="3118" w:type="dxa"/>
            <w:vMerge w:val="restart"/>
          </w:tcPr>
          <w:p w:rsidR="00251182" w:rsidRPr="00B35018"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r w:rsidRPr="00B35018">
              <w:rPr>
                <w:rFonts w:ascii="Comic Sans MS" w:hAnsi="Comic Sans MS"/>
                <w:sz w:val="20"/>
                <w:szCs w:val="20"/>
              </w:rPr>
              <w:t xml:space="preserve">Ley </w:t>
            </w:r>
            <w:proofErr w:type="gramStart"/>
            <w:r>
              <w:rPr>
                <w:rFonts w:ascii="Comic Sans MS" w:hAnsi="Comic Sans MS"/>
                <w:sz w:val="20"/>
                <w:szCs w:val="20"/>
              </w:rPr>
              <w:t>9022</w:t>
            </w:r>
            <w:r w:rsidRPr="00B35018">
              <w:rPr>
                <w:rFonts w:ascii="Comic Sans MS" w:hAnsi="Comic Sans MS"/>
                <w:sz w:val="20"/>
                <w:szCs w:val="20"/>
              </w:rPr>
              <w:t xml:space="preserve">  Planilla</w:t>
            </w:r>
            <w:proofErr w:type="gramEnd"/>
            <w:r w:rsidRPr="00B35018">
              <w:rPr>
                <w:rFonts w:ascii="Comic Sans MS" w:hAnsi="Comic Sans MS"/>
                <w:sz w:val="20"/>
                <w:szCs w:val="20"/>
              </w:rPr>
              <w:t xml:space="preserve"> analítica anexa al artículo 3</w:t>
            </w:r>
          </w:p>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p>
        </w:tc>
      </w:tr>
      <w:tr w:rsidR="00251182" w:rsidRPr="00B35018" w:rsidTr="00251182">
        <w:trPr>
          <w:trHeight w:val="699"/>
        </w:trPr>
        <w:tc>
          <w:tcPr>
            <w:tcW w:w="1134" w:type="dxa"/>
          </w:tcPr>
          <w:p w:rsidR="00251182" w:rsidRPr="00B35018"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492290</w:t>
            </w:r>
          </w:p>
        </w:tc>
        <w:tc>
          <w:tcPr>
            <w:tcW w:w="993" w:type="dxa"/>
          </w:tcPr>
          <w:p w:rsidR="00251182" w:rsidRPr="00B35018"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711412</w:t>
            </w:r>
          </w:p>
        </w:tc>
        <w:tc>
          <w:tcPr>
            <w:tcW w:w="3402" w:type="dxa"/>
          </w:tcPr>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r w:rsidRPr="00B35018">
              <w:rPr>
                <w:rFonts w:ascii="Comic Sans MS" w:hAnsi="Comic Sans MS"/>
                <w:sz w:val="20"/>
                <w:szCs w:val="20"/>
              </w:rPr>
              <w:t xml:space="preserve">Transporte de carga internacional </w:t>
            </w:r>
          </w:p>
        </w:tc>
        <w:tc>
          <w:tcPr>
            <w:tcW w:w="1560" w:type="dxa"/>
          </w:tcPr>
          <w:p w:rsidR="00251182" w:rsidRDefault="00251182" w:rsidP="006244AE">
            <w:pPr>
              <w:jc w:val="center"/>
              <w:rPr>
                <w:rFonts w:ascii="Comic Sans MS" w:hAnsi="Comic Sans MS"/>
                <w:b/>
                <w:sz w:val="20"/>
                <w:szCs w:val="20"/>
              </w:rPr>
            </w:pPr>
          </w:p>
          <w:p w:rsidR="00251182" w:rsidRPr="00B35018" w:rsidRDefault="00251182" w:rsidP="006244AE">
            <w:pPr>
              <w:jc w:val="center"/>
              <w:rPr>
                <w:rFonts w:ascii="Comic Sans MS" w:hAnsi="Comic Sans MS"/>
                <w:b/>
                <w:sz w:val="20"/>
                <w:szCs w:val="20"/>
              </w:rPr>
            </w:pPr>
            <w:r>
              <w:rPr>
                <w:rFonts w:ascii="Comic Sans MS" w:hAnsi="Comic Sans MS"/>
                <w:b/>
                <w:sz w:val="20"/>
                <w:szCs w:val="20"/>
              </w:rPr>
              <w:t>Exento</w:t>
            </w:r>
          </w:p>
          <w:p w:rsidR="00251182" w:rsidRPr="00B35018" w:rsidRDefault="00251182" w:rsidP="006244AE">
            <w:pPr>
              <w:jc w:val="center"/>
              <w:rPr>
                <w:rFonts w:ascii="Comic Sans MS" w:hAnsi="Comic Sans MS"/>
                <w:b/>
                <w:sz w:val="20"/>
                <w:szCs w:val="20"/>
              </w:rPr>
            </w:pPr>
            <w:r w:rsidRPr="00B35018">
              <w:rPr>
                <w:rFonts w:ascii="Comic Sans MS" w:hAnsi="Comic Sans MS"/>
                <w:b/>
                <w:sz w:val="20"/>
                <w:szCs w:val="20"/>
              </w:rPr>
              <w:t xml:space="preserve"> (***)</w:t>
            </w:r>
          </w:p>
        </w:tc>
        <w:tc>
          <w:tcPr>
            <w:tcW w:w="3118" w:type="dxa"/>
            <w:vMerge/>
          </w:tcPr>
          <w:p w:rsidR="00251182" w:rsidRPr="00B35018" w:rsidRDefault="00251182" w:rsidP="006244AE">
            <w:pPr>
              <w:rPr>
                <w:rFonts w:ascii="Comic Sans MS" w:hAnsi="Comic Sans MS"/>
                <w:sz w:val="20"/>
                <w:szCs w:val="20"/>
              </w:rPr>
            </w:pPr>
          </w:p>
        </w:tc>
      </w:tr>
      <w:tr w:rsidR="00251182" w:rsidRPr="00B35018" w:rsidTr="00251182">
        <w:trPr>
          <w:trHeight w:val="467"/>
        </w:trPr>
        <w:tc>
          <w:tcPr>
            <w:tcW w:w="1134" w:type="dxa"/>
          </w:tcPr>
          <w:p w:rsidR="00251182" w:rsidRPr="00B35018" w:rsidRDefault="00251182" w:rsidP="006244AE">
            <w:pPr>
              <w:jc w:val="center"/>
              <w:rPr>
                <w:rFonts w:ascii="Comic Sans MS" w:hAnsi="Comic Sans MS"/>
                <w:sz w:val="20"/>
                <w:szCs w:val="20"/>
                <w:highlight w:val="yellow"/>
              </w:rPr>
            </w:pPr>
            <w:r w:rsidRPr="00B35018">
              <w:rPr>
                <w:rFonts w:ascii="Comic Sans MS" w:hAnsi="Comic Sans MS"/>
                <w:sz w:val="20"/>
                <w:szCs w:val="20"/>
                <w:highlight w:val="yellow"/>
              </w:rPr>
              <w:t>492229</w:t>
            </w:r>
          </w:p>
        </w:tc>
        <w:tc>
          <w:tcPr>
            <w:tcW w:w="993" w:type="dxa"/>
          </w:tcPr>
          <w:p w:rsidR="00251182" w:rsidRPr="00B35018" w:rsidRDefault="00251182" w:rsidP="006244AE">
            <w:pPr>
              <w:jc w:val="center"/>
              <w:rPr>
                <w:rFonts w:ascii="Comic Sans MS" w:hAnsi="Comic Sans MS"/>
                <w:sz w:val="20"/>
                <w:szCs w:val="20"/>
                <w:highlight w:val="yellow"/>
              </w:rPr>
            </w:pPr>
            <w:r w:rsidRPr="00B35018">
              <w:rPr>
                <w:rFonts w:ascii="Comic Sans MS" w:hAnsi="Comic Sans MS"/>
                <w:sz w:val="20"/>
                <w:szCs w:val="20"/>
                <w:highlight w:val="yellow"/>
              </w:rPr>
              <w:t>711415</w:t>
            </w:r>
          </w:p>
        </w:tc>
        <w:tc>
          <w:tcPr>
            <w:tcW w:w="3402" w:type="dxa"/>
          </w:tcPr>
          <w:p w:rsidR="00251182" w:rsidRPr="00B35018" w:rsidRDefault="00251182" w:rsidP="006244AE">
            <w:pPr>
              <w:rPr>
                <w:rFonts w:ascii="Comic Sans MS" w:hAnsi="Comic Sans MS"/>
                <w:sz w:val="20"/>
                <w:szCs w:val="20"/>
              </w:rPr>
            </w:pPr>
            <w:r w:rsidRPr="00B35018">
              <w:rPr>
                <w:rFonts w:ascii="Comic Sans MS" w:hAnsi="Comic Sans MS"/>
                <w:sz w:val="20"/>
                <w:szCs w:val="20"/>
                <w:highlight w:val="yellow"/>
              </w:rPr>
              <w:t>Transporte de vino a granel</w:t>
            </w:r>
          </w:p>
        </w:tc>
        <w:tc>
          <w:tcPr>
            <w:tcW w:w="1560" w:type="dxa"/>
            <w:shd w:val="clear" w:color="auto" w:fill="auto"/>
          </w:tcPr>
          <w:p w:rsidR="00251182" w:rsidRPr="00B35018" w:rsidRDefault="00251182" w:rsidP="006244AE">
            <w:pPr>
              <w:jc w:val="center"/>
              <w:rPr>
                <w:rFonts w:ascii="Comic Sans MS" w:hAnsi="Comic Sans MS"/>
                <w:b/>
                <w:sz w:val="20"/>
                <w:szCs w:val="20"/>
              </w:rPr>
            </w:pPr>
            <w:r>
              <w:rPr>
                <w:rFonts w:ascii="Comic Sans MS" w:hAnsi="Comic Sans MS"/>
                <w:b/>
                <w:sz w:val="20"/>
                <w:szCs w:val="20"/>
              </w:rPr>
              <w:t xml:space="preserve">Exento, </w:t>
            </w:r>
            <w:r w:rsidRPr="00B35018">
              <w:rPr>
                <w:rFonts w:ascii="Comic Sans MS" w:hAnsi="Comic Sans MS"/>
                <w:b/>
                <w:sz w:val="20"/>
                <w:szCs w:val="20"/>
              </w:rPr>
              <w:t>4%</w:t>
            </w:r>
          </w:p>
          <w:p w:rsidR="00251182" w:rsidRDefault="00251182" w:rsidP="006244AE">
            <w:pPr>
              <w:jc w:val="center"/>
              <w:rPr>
                <w:rFonts w:ascii="Comic Sans MS" w:hAnsi="Comic Sans MS"/>
                <w:b/>
                <w:sz w:val="20"/>
                <w:szCs w:val="20"/>
              </w:rPr>
            </w:pPr>
            <w:r w:rsidRPr="0099448D">
              <w:rPr>
                <w:rFonts w:ascii="Comic Sans MS" w:hAnsi="Comic Sans MS"/>
                <w:b/>
                <w:sz w:val="20"/>
                <w:szCs w:val="20"/>
              </w:rPr>
              <w:t>o 3,75 %</w:t>
            </w:r>
          </w:p>
          <w:p w:rsidR="00251182" w:rsidRPr="0099448D" w:rsidRDefault="00251182" w:rsidP="006244AE">
            <w:pPr>
              <w:jc w:val="center"/>
              <w:rPr>
                <w:rFonts w:ascii="Comic Sans MS" w:hAnsi="Comic Sans MS"/>
                <w:b/>
                <w:sz w:val="20"/>
                <w:szCs w:val="20"/>
              </w:rPr>
            </w:pPr>
            <w:r>
              <w:rPr>
                <w:rFonts w:ascii="Comic Sans MS" w:hAnsi="Comic Sans MS"/>
                <w:b/>
                <w:sz w:val="20"/>
                <w:szCs w:val="20"/>
              </w:rPr>
              <w:t>(****)</w:t>
            </w:r>
            <w:r w:rsidRPr="0099448D">
              <w:rPr>
                <w:rFonts w:ascii="Comic Sans MS" w:hAnsi="Comic Sans MS"/>
                <w:b/>
                <w:sz w:val="20"/>
                <w:szCs w:val="20"/>
              </w:rPr>
              <w:t xml:space="preserve"> </w:t>
            </w:r>
          </w:p>
        </w:tc>
        <w:tc>
          <w:tcPr>
            <w:tcW w:w="3118" w:type="dxa"/>
            <w:vMerge/>
          </w:tcPr>
          <w:p w:rsidR="00251182" w:rsidRPr="00B35018" w:rsidRDefault="00251182" w:rsidP="006244AE">
            <w:pPr>
              <w:rPr>
                <w:rFonts w:ascii="Comic Sans MS" w:hAnsi="Comic Sans MS"/>
                <w:sz w:val="20"/>
                <w:szCs w:val="20"/>
              </w:rPr>
            </w:pPr>
          </w:p>
        </w:tc>
      </w:tr>
      <w:tr w:rsidR="00251182" w:rsidRPr="00B35018" w:rsidTr="00251182">
        <w:trPr>
          <w:trHeight w:val="467"/>
        </w:trPr>
        <w:tc>
          <w:tcPr>
            <w:tcW w:w="1134" w:type="dxa"/>
          </w:tcPr>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492210</w:t>
            </w:r>
          </w:p>
        </w:tc>
        <w:tc>
          <w:tcPr>
            <w:tcW w:w="993" w:type="dxa"/>
          </w:tcPr>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711 438</w:t>
            </w:r>
          </w:p>
          <w:p w:rsidR="00251182" w:rsidRPr="00B35018" w:rsidRDefault="00251182" w:rsidP="006244AE">
            <w:pPr>
              <w:jc w:val="center"/>
              <w:rPr>
                <w:rFonts w:ascii="Comic Sans MS" w:hAnsi="Comic Sans MS"/>
                <w:sz w:val="20"/>
                <w:szCs w:val="20"/>
              </w:rPr>
            </w:pPr>
          </w:p>
        </w:tc>
        <w:tc>
          <w:tcPr>
            <w:tcW w:w="3402" w:type="dxa"/>
          </w:tcPr>
          <w:p w:rsidR="00251182" w:rsidRPr="00B35018" w:rsidRDefault="00251182" w:rsidP="006244AE">
            <w:pPr>
              <w:rPr>
                <w:rFonts w:ascii="Comic Sans MS" w:hAnsi="Comic Sans MS"/>
                <w:sz w:val="20"/>
                <w:szCs w:val="20"/>
              </w:rPr>
            </w:pPr>
            <w:r w:rsidRPr="00B35018">
              <w:rPr>
                <w:rFonts w:ascii="Comic Sans MS" w:hAnsi="Comic Sans MS"/>
                <w:sz w:val="20"/>
                <w:szCs w:val="20"/>
              </w:rPr>
              <w:t>Servicios de Mudanza</w:t>
            </w:r>
          </w:p>
          <w:p w:rsidR="00251182" w:rsidRPr="00B35018" w:rsidRDefault="00251182" w:rsidP="006244AE">
            <w:pPr>
              <w:rPr>
                <w:rFonts w:ascii="Comic Sans MS" w:hAnsi="Comic Sans MS"/>
                <w:sz w:val="20"/>
                <w:szCs w:val="20"/>
              </w:rPr>
            </w:pPr>
          </w:p>
        </w:tc>
        <w:tc>
          <w:tcPr>
            <w:tcW w:w="1560" w:type="dxa"/>
            <w:vMerge w:val="restart"/>
            <w:shd w:val="clear" w:color="auto" w:fill="auto"/>
          </w:tcPr>
          <w:p w:rsidR="00251182" w:rsidRDefault="00251182" w:rsidP="006244AE">
            <w:pPr>
              <w:jc w:val="center"/>
              <w:rPr>
                <w:rFonts w:ascii="Comic Sans MS" w:hAnsi="Comic Sans MS"/>
                <w:b/>
                <w:sz w:val="20"/>
                <w:szCs w:val="20"/>
              </w:rPr>
            </w:pPr>
          </w:p>
          <w:p w:rsidR="00251182" w:rsidRDefault="00251182" w:rsidP="006244AE">
            <w:pPr>
              <w:jc w:val="center"/>
              <w:rPr>
                <w:rFonts w:ascii="Comic Sans MS" w:hAnsi="Comic Sans MS"/>
                <w:b/>
                <w:sz w:val="20"/>
                <w:szCs w:val="20"/>
              </w:rPr>
            </w:pPr>
          </w:p>
          <w:p w:rsidR="00251182" w:rsidRDefault="00251182" w:rsidP="006244AE">
            <w:pPr>
              <w:jc w:val="center"/>
              <w:rPr>
                <w:rFonts w:ascii="Comic Sans MS" w:hAnsi="Comic Sans MS"/>
                <w:b/>
                <w:sz w:val="20"/>
                <w:szCs w:val="20"/>
              </w:rPr>
            </w:pPr>
          </w:p>
          <w:p w:rsidR="00251182" w:rsidRDefault="00251182" w:rsidP="006244AE">
            <w:pPr>
              <w:jc w:val="center"/>
              <w:rPr>
                <w:rFonts w:ascii="Comic Sans MS" w:hAnsi="Comic Sans MS"/>
                <w:b/>
                <w:sz w:val="20"/>
                <w:szCs w:val="20"/>
              </w:rPr>
            </w:pPr>
          </w:p>
          <w:p w:rsidR="00251182" w:rsidRDefault="00251182" w:rsidP="006244AE">
            <w:pPr>
              <w:jc w:val="center"/>
              <w:rPr>
                <w:rFonts w:ascii="Comic Sans MS" w:hAnsi="Comic Sans MS"/>
                <w:b/>
                <w:sz w:val="20"/>
                <w:szCs w:val="20"/>
              </w:rPr>
            </w:pPr>
          </w:p>
          <w:p w:rsidR="00251182" w:rsidRDefault="00251182" w:rsidP="006244AE">
            <w:pPr>
              <w:jc w:val="center"/>
              <w:rPr>
                <w:rFonts w:ascii="Comic Sans MS" w:hAnsi="Comic Sans MS"/>
                <w:b/>
                <w:sz w:val="20"/>
                <w:szCs w:val="20"/>
              </w:rPr>
            </w:pPr>
          </w:p>
          <w:p w:rsidR="00251182" w:rsidRDefault="00251182" w:rsidP="006244AE">
            <w:pPr>
              <w:jc w:val="center"/>
              <w:rPr>
                <w:rFonts w:ascii="Comic Sans MS" w:hAnsi="Comic Sans MS"/>
                <w:b/>
                <w:sz w:val="20"/>
                <w:szCs w:val="20"/>
              </w:rPr>
            </w:pPr>
          </w:p>
          <w:p w:rsidR="00251182" w:rsidRDefault="00251182" w:rsidP="006244AE">
            <w:pPr>
              <w:jc w:val="center"/>
              <w:rPr>
                <w:rFonts w:ascii="Comic Sans MS" w:hAnsi="Comic Sans MS"/>
                <w:b/>
                <w:sz w:val="20"/>
                <w:szCs w:val="20"/>
              </w:rPr>
            </w:pPr>
          </w:p>
          <w:p w:rsidR="00251182" w:rsidRPr="00B35018" w:rsidRDefault="00251182" w:rsidP="006244AE">
            <w:pPr>
              <w:jc w:val="center"/>
              <w:rPr>
                <w:rFonts w:ascii="Comic Sans MS" w:hAnsi="Comic Sans MS"/>
                <w:b/>
                <w:sz w:val="20"/>
                <w:szCs w:val="20"/>
              </w:rPr>
            </w:pPr>
            <w:r>
              <w:rPr>
                <w:rFonts w:ascii="Comic Sans MS" w:hAnsi="Comic Sans MS"/>
                <w:b/>
                <w:sz w:val="20"/>
                <w:szCs w:val="20"/>
              </w:rPr>
              <w:t>4%</w:t>
            </w:r>
          </w:p>
        </w:tc>
        <w:tc>
          <w:tcPr>
            <w:tcW w:w="3118" w:type="dxa"/>
            <w:vMerge/>
          </w:tcPr>
          <w:p w:rsidR="00251182" w:rsidRPr="00B35018" w:rsidRDefault="00251182" w:rsidP="006244AE">
            <w:pPr>
              <w:rPr>
                <w:rFonts w:ascii="Comic Sans MS" w:hAnsi="Comic Sans MS"/>
                <w:sz w:val="20"/>
                <w:szCs w:val="20"/>
              </w:rPr>
            </w:pPr>
          </w:p>
        </w:tc>
      </w:tr>
      <w:tr w:rsidR="00251182" w:rsidRPr="00B35018" w:rsidTr="00251182">
        <w:trPr>
          <w:trHeight w:val="545"/>
        </w:trPr>
        <w:tc>
          <w:tcPr>
            <w:tcW w:w="1134" w:type="dxa"/>
          </w:tcPr>
          <w:p w:rsidR="00251182" w:rsidRPr="00B35018" w:rsidRDefault="00251182" w:rsidP="006244AE">
            <w:pPr>
              <w:rPr>
                <w:rFonts w:ascii="Comic Sans MS" w:hAnsi="Comic Sans MS"/>
                <w:sz w:val="20"/>
                <w:szCs w:val="20"/>
              </w:rPr>
            </w:pP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801010</w:t>
            </w:r>
          </w:p>
          <w:p w:rsidR="00251182" w:rsidRPr="00B35018" w:rsidRDefault="00251182" w:rsidP="006244AE">
            <w:pPr>
              <w:jc w:val="center"/>
              <w:rPr>
                <w:rFonts w:ascii="Comic Sans MS" w:hAnsi="Comic Sans MS"/>
                <w:sz w:val="20"/>
                <w:szCs w:val="20"/>
              </w:rPr>
            </w:pPr>
          </w:p>
        </w:tc>
        <w:tc>
          <w:tcPr>
            <w:tcW w:w="993" w:type="dxa"/>
          </w:tcPr>
          <w:p w:rsidR="00251182" w:rsidRPr="00B35018"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711 446</w:t>
            </w:r>
          </w:p>
          <w:p w:rsidR="00251182" w:rsidRPr="00B35018" w:rsidRDefault="00251182" w:rsidP="006244AE">
            <w:pPr>
              <w:jc w:val="center"/>
              <w:rPr>
                <w:rFonts w:ascii="Comic Sans MS" w:hAnsi="Comic Sans MS"/>
                <w:sz w:val="20"/>
                <w:szCs w:val="20"/>
              </w:rPr>
            </w:pPr>
          </w:p>
        </w:tc>
        <w:tc>
          <w:tcPr>
            <w:tcW w:w="3402" w:type="dxa"/>
          </w:tcPr>
          <w:p w:rsidR="00251182" w:rsidRPr="00B35018" w:rsidRDefault="00251182" w:rsidP="006244AE">
            <w:pPr>
              <w:rPr>
                <w:rFonts w:ascii="Comic Sans MS" w:hAnsi="Comic Sans MS"/>
                <w:sz w:val="20"/>
                <w:szCs w:val="20"/>
              </w:rPr>
            </w:pPr>
            <w:r w:rsidRPr="00B35018">
              <w:rPr>
                <w:rFonts w:ascii="Comic Sans MS" w:hAnsi="Comic Sans MS"/>
                <w:sz w:val="20"/>
                <w:szCs w:val="20"/>
              </w:rPr>
              <w:t>Transporte de valores, documentación, encomiendas y similares.</w:t>
            </w:r>
          </w:p>
        </w:tc>
        <w:tc>
          <w:tcPr>
            <w:tcW w:w="1560" w:type="dxa"/>
            <w:vMerge/>
            <w:shd w:val="clear" w:color="auto" w:fill="auto"/>
          </w:tcPr>
          <w:p w:rsidR="00251182" w:rsidRPr="00B35018" w:rsidRDefault="00251182" w:rsidP="006244AE">
            <w:pPr>
              <w:jc w:val="center"/>
              <w:rPr>
                <w:rFonts w:ascii="Comic Sans MS" w:hAnsi="Comic Sans MS"/>
                <w:sz w:val="20"/>
                <w:szCs w:val="20"/>
              </w:rPr>
            </w:pPr>
          </w:p>
        </w:tc>
        <w:tc>
          <w:tcPr>
            <w:tcW w:w="3118" w:type="dxa"/>
            <w:vMerge/>
          </w:tcPr>
          <w:p w:rsidR="00251182" w:rsidRPr="00B35018" w:rsidRDefault="00251182" w:rsidP="006244AE">
            <w:pPr>
              <w:rPr>
                <w:rFonts w:ascii="Comic Sans MS" w:hAnsi="Comic Sans MS"/>
                <w:sz w:val="20"/>
                <w:szCs w:val="20"/>
              </w:rPr>
            </w:pPr>
          </w:p>
        </w:tc>
      </w:tr>
      <w:tr w:rsidR="00251182" w:rsidRPr="00B35018" w:rsidTr="00251182">
        <w:trPr>
          <w:trHeight w:val="540"/>
        </w:trPr>
        <w:tc>
          <w:tcPr>
            <w:tcW w:w="1134" w:type="dxa"/>
          </w:tcPr>
          <w:p w:rsidR="00251182" w:rsidRPr="00B35018"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521010</w:t>
            </w:r>
          </w:p>
          <w:p w:rsidR="00251182" w:rsidRPr="00B35018" w:rsidRDefault="00251182" w:rsidP="006244AE">
            <w:pPr>
              <w:jc w:val="center"/>
              <w:rPr>
                <w:rFonts w:ascii="Comic Sans MS" w:hAnsi="Comic Sans MS"/>
                <w:sz w:val="20"/>
                <w:szCs w:val="20"/>
              </w:rPr>
            </w:pPr>
          </w:p>
        </w:tc>
        <w:tc>
          <w:tcPr>
            <w:tcW w:w="993" w:type="dxa"/>
          </w:tcPr>
          <w:p w:rsidR="00251182" w:rsidRPr="00B35018"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711 691</w:t>
            </w:r>
          </w:p>
          <w:p w:rsidR="00251182" w:rsidRPr="00B35018" w:rsidRDefault="00251182" w:rsidP="006244AE">
            <w:pPr>
              <w:jc w:val="center"/>
              <w:rPr>
                <w:rFonts w:ascii="Comic Sans MS" w:hAnsi="Comic Sans MS"/>
                <w:sz w:val="20"/>
                <w:szCs w:val="20"/>
              </w:rPr>
            </w:pPr>
          </w:p>
        </w:tc>
        <w:tc>
          <w:tcPr>
            <w:tcW w:w="3402" w:type="dxa"/>
          </w:tcPr>
          <w:p w:rsidR="00251182" w:rsidRPr="00B35018" w:rsidRDefault="00251182" w:rsidP="006244AE">
            <w:pPr>
              <w:rPr>
                <w:rFonts w:ascii="Comic Sans MS" w:hAnsi="Comic Sans MS"/>
                <w:sz w:val="20"/>
                <w:szCs w:val="20"/>
              </w:rPr>
            </w:pPr>
            <w:r w:rsidRPr="00B35018">
              <w:rPr>
                <w:rFonts w:ascii="Comic Sans MS" w:hAnsi="Comic Sans MS"/>
                <w:sz w:val="20"/>
                <w:szCs w:val="20"/>
              </w:rPr>
              <w:t>Servicios relacionados con el transporte terrestre no clasificados en otra parte.</w:t>
            </w:r>
          </w:p>
        </w:tc>
        <w:tc>
          <w:tcPr>
            <w:tcW w:w="1560" w:type="dxa"/>
            <w:vMerge/>
            <w:shd w:val="clear" w:color="auto" w:fill="auto"/>
          </w:tcPr>
          <w:p w:rsidR="00251182" w:rsidRPr="00B35018" w:rsidRDefault="00251182" w:rsidP="006244AE">
            <w:pPr>
              <w:jc w:val="center"/>
              <w:rPr>
                <w:rFonts w:ascii="Comic Sans MS" w:hAnsi="Comic Sans MS"/>
                <w:sz w:val="20"/>
                <w:szCs w:val="20"/>
              </w:rPr>
            </w:pPr>
          </w:p>
        </w:tc>
        <w:tc>
          <w:tcPr>
            <w:tcW w:w="3118" w:type="dxa"/>
            <w:vMerge/>
          </w:tcPr>
          <w:p w:rsidR="00251182" w:rsidRPr="00B35018" w:rsidRDefault="00251182" w:rsidP="006244AE">
            <w:pPr>
              <w:rPr>
                <w:rFonts w:ascii="Comic Sans MS" w:hAnsi="Comic Sans MS"/>
                <w:sz w:val="20"/>
                <w:szCs w:val="20"/>
              </w:rPr>
            </w:pPr>
          </w:p>
        </w:tc>
      </w:tr>
      <w:tr w:rsidR="00251182" w:rsidRPr="00B35018" w:rsidTr="00251182">
        <w:trPr>
          <w:trHeight w:val="540"/>
        </w:trPr>
        <w:tc>
          <w:tcPr>
            <w:tcW w:w="1134" w:type="dxa"/>
          </w:tcPr>
          <w:p w:rsidR="00251182" w:rsidRPr="00B35018"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5</w:t>
            </w:r>
            <w:r>
              <w:rPr>
                <w:rFonts w:ascii="Comic Sans MS" w:hAnsi="Comic Sans MS"/>
                <w:sz w:val="20"/>
                <w:szCs w:val="20"/>
              </w:rPr>
              <w:t>2419</w:t>
            </w:r>
            <w:r w:rsidRPr="00B35018">
              <w:rPr>
                <w:rFonts w:ascii="Comic Sans MS" w:hAnsi="Comic Sans MS"/>
                <w:sz w:val="20"/>
                <w:szCs w:val="20"/>
              </w:rPr>
              <w:t>0</w:t>
            </w:r>
          </w:p>
        </w:tc>
        <w:tc>
          <w:tcPr>
            <w:tcW w:w="993" w:type="dxa"/>
          </w:tcPr>
          <w:p w:rsidR="00251182" w:rsidRPr="00B35018"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719110</w:t>
            </w:r>
          </w:p>
        </w:tc>
        <w:tc>
          <w:tcPr>
            <w:tcW w:w="3402" w:type="dxa"/>
          </w:tcPr>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r w:rsidRPr="00B35018">
              <w:rPr>
                <w:rFonts w:ascii="Comic Sans MS" w:hAnsi="Comic Sans MS"/>
                <w:sz w:val="20"/>
                <w:szCs w:val="20"/>
              </w:rPr>
              <w:t>Servicio conexo con el transporte, incluye embalajes.</w:t>
            </w:r>
          </w:p>
        </w:tc>
        <w:tc>
          <w:tcPr>
            <w:tcW w:w="1560" w:type="dxa"/>
            <w:vMerge/>
            <w:shd w:val="clear" w:color="auto" w:fill="auto"/>
          </w:tcPr>
          <w:p w:rsidR="00251182" w:rsidRPr="00B35018" w:rsidRDefault="00251182" w:rsidP="006244AE">
            <w:pPr>
              <w:jc w:val="center"/>
              <w:rPr>
                <w:rFonts w:ascii="Comic Sans MS" w:hAnsi="Comic Sans MS"/>
                <w:sz w:val="20"/>
                <w:szCs w:val="20"/>
              </w:rPr>
            </w:pPr>
          </w:p>
        </w:tc>
        <w:tc>
          <w:tcPr>
            <w:tcW w:w="3118" w:type="dxa"/>
            <w:vMerge/>
          </w:tcPr>
          <w:p w:rsidR="00251182" w:rsidRPr="00B35018" w:rsidRDefault="00251182" w:rsidP="006244AE">
            <w:pPr>
              <w:rPr>
                <w:rFonts w:ascii="Comic Sans MS" w:hAnsi="Comic Sans MS"/>
                <w:sz w:val="20"/>
                <w:szCs w:val="20"/>
              </w:rPr>
            </w:pPr>
          </w:p>
        </w:tc>
      </w:tr>
      <w:tr w:rsidR="00251182" w:rsidRPr="00B35018" w:rsidTr="00251182">
        <w:trPr>
          <w:trHeight w:val="584"/>
        </w:trPr>
        <w:tc>
          <w:tcPr>
            <w:tcW w:w="1134" w:type="dxa"/>
          </w:tcPr>
          <w:p w:rsidR="00251182" w:rsidRDefault="00251182" w:rsidP="006244AE">
            <w:pPr>
              <w:jc w:val="center"/>
              <w:rPr>
                <w:rFonts w:ascii="Comic Sans MS" w:hAnsi="Comic Sans MS"/>
                <w:sz w:val="20"/>
                <w:szCs w:val="20"/>
              </w:rPr>
            </w:pPr>
            <w:r>
              <w:rPr>
                <w:rFonts w:ascii="Comic Sans MS" w:hAnsi="Comic Sans MS"/>
                <w:sz w:val="20"/>
                <w:szCs w:val="20"/>
              </w:rPr>
              <w:t>522010</w:t>
            </w:r>
          </w:p>
          <w:p w:rsidR="00251182" w:rsidRPr="00B35018" w:rsidRDefault="00251182" w:rsidP="006244AE">
            <w:pPr>
              <w:jc w:val="center"/>
              <w:rPr>
                <w:rFonts w:ascii="Comic Sans MS" w:hAnsi="Comic Sans MS"/>
                <w:sz w:val="20"/>
                <w:szCs w:val="20"/>
              </w:rPr>
            </w:pPr>
            <w:r>
              <w:rPr>
                <w:rFonts w:ascii="Comic Sans MS" w:hAnsi="Comic Sans MS"/>
                <w:sz w:val="20"/>
                <w:szCs w:val="20"/>
              </w:rPr>
              <w:t>522020</w:t>
            </w:r>
          </w:p>
          <w:p w:rsidR="00251182" w:rsidRDefault="00251182" w:rsidP="006244AE">
            <w:pPr>
              <w:jc w:val="center"/>
              <w:rPr>
                <w:rFonts w:ascii="Comic Sans MS" w:hAnsi="Comic Sans MS"/>
                <w:sz w:val="20"/>
                <w:szCs w:val="20"/>
              </w:rPr>
            </w:pPr>
            <w:r>
              <w:rPr>
                <w:rFonts w:ascii="Comic Sans MS" w:hAnsi="Comic Sans MS"/>
                <w:sz w:val="20"/>
                <w:szCs w:val="20"/>
              </w:rPr>
              <w:t>522092</w:t>
            </w:r>
          </w:p>
          <w:p w:rsidR="00251182" w:rsidRPr="00B35018" w:rsidRDefault="00251182" w:rsidP="006244AE">
            <w:pPr>
              <w:jc w:val="center"/>
              <w:rPr>
                <w:rFonts w:ascii="Comic Sans MS" w:hAnsi="Comic Sans MS"/>
                <w:sz w:val="20"/>
                <w:szCs w:val="20"/>
              </w:rPr>
            </w:pPr>
            <w:r>
              <w:rPr>
                <w:rFonts w:ascii="Comic Sans MS" w:hAnsi="Comic Sans MS"/>
                <w:sz w:val="20"/>
                <w:szCs w:val="20"/>
              </w:rPr>
              <w:t>522099</w:t>
            </w:r>
          </w:p>
        </w:tc>
        <w:tc>
          <w:tcPr>
            <w:tcW w:w="993" w:type="dxa"/>
          </w:tcPr>
          <w:p w:rsidR="00251182" w:rsidRPr="00B35018"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719 218</w:t>
            </w:r>
          </w:p>
        </w:tc>
        <w:tc>
          <w:tcPr>
            <w:tcW w:w="3402" w:type="dxa"/>
          </w:tcPr>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r w:rsidRPr="00B35018">
              <w:rPr>
                <w:rFonts w:ascii="Comic Sans MS" w:hAnsi="Comic Sans MS"/>
                <w:sz w:val="20"/>
                <w:szCs w:val="20"/>
              </w:rPr>
              <w:t>Depósitos y almacenamiento (incluye cámaras refrigeradoras, etc.).</w:t>
            </w:r>
          </w:p>
        </w:tc>
        <w:tc>
          <w:tcPr>
            <w:tcW w:w="1560" w:type="dxa"/>
            <w:vMerge/>
            <w:shd w:val="clear" w:color="auto" w:fill="auto"/>
          </w:tcPr>
          <w:p w:rsidR="00251182" w:rsidRPr="00B35018" w:rsidRDefault="00251182" w:rsidP="006244AE">
            <w:pPr>
              <w:jc w:val="center"/>
              <w:rPr>
                <w:rFonts w:ascii="Comic Sans MS" w:hAnsi="Comic Sans MS"/>
                <w:sz w:val="20"/>
                <w:szCs w:val="20"/>
              </w:rPr>
            </w:pPr>
          </w:p>
        </w:tc>
        <w:tc>
          <w:tcPr>
            <w:tcW w:w="3118" w:type="dxa"/>
            <w:vMerge/>
          </w:tcPr>
          <w:p w:rsidR="00251182" w:rsidRPr="00B35018" w:rsidRDefault="00251182" w:rsidP="006244AE">
            <w:pPr>
              <w:rPr>
                <w:rFonts w:ascii="Comic Sans MS" w:hAnsi="Comic Sans MS"/>
                <w:sz w:val="20"/>
                <w:szCs w:val="20"/>
              </w:rPr>
            </w:pPr>
          </w:p>
        </w:tc>
      </w:tr>
      <w:tr w:rsidR="00251182" w:rsidRPr="00B35018" w:rsidTr="00251182">
        <w:trPr>
          <w:trHeight w:val="557"/>
        </w:trPr>
        <w:tc>
          <w:tcPr>
            <w:tcW w:w="1134" w:type="dxa"/>
          </w:tcPr>
          <w:p w:rsidR="00251182"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r>
              <w:rPr>
                <w:rFonts w:ascii="Comic Sans MS" w:hAnsi="Comic Sans MS"/>
                <w:sz w:val="20"/>
                <w:szCs w:val="20"/>
              </w:rPr>
              <w:t>530090</w:t>
            </w:r>
          </w:p>
        </w:tc>
        <w:tc>
          <w:tcPr>
            <w:tcW w:w="993" w:type="dxa"/>
          </w:tcPr>
          <w:p w:rsidR="00251182"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r>
              <w:rPr>
                <w:rFonts w:ascii="Comic Sans MS" w:hAnsi="Comic Sans MS"/>
                <w:sz w:val="20"/>
                <w:szCs w:val="20"/>
              </w:rPr>
              <w:t>719300</w:t>
            </w:r>
          </w:p>
        </w:tc>
        <w:tc>
          <w:tcPr>
            <w:tcW w:w="3402" w:type="dxa"/>
          </w:tcPr>
          <w:p w:rsidR="00251182" w:rsidRPr="00B35018" w:rsidRDefault="00251182" w:rsidP="006244AE">
            <w:pPr>
              <w:rPr>
                <w:rFonts w:ascii="Comic Sans MS" w:hAnsi="Comic Sans MS"/>
                <w:sz w:val="20"/>
                <w:szCs w:val="20"/>
              </w:rPr>
            </w:pPr>
            <w:r>
              <w:rPr>
                <w:rFonts w:ascii="Comic Sans MS" w:hAnsi="Comic Sans MS"/>
                <w:sz w:val="20"/>
                <w:szCs w:val="20"/>
              </w:rPr>
              <w:t xml:space="preserve">Servicios de distribución domiciliaria de encomiendas / </w:t>
            </w:r>
            <w:proofErr w:type="spellStart"/>
            <w:r>
              <w:rPr>
                <w:rFonts w:ascii="Comic Sans MS" w:hAnsi="Comic Sans MS"/>
                <w:sz w:val="20"/>
                <w:szCs w:val="20"/>
              </w:rPr>
              <w:t>mensajeria</w:t>
            </w:r>
            <w:proofErr w:type="spellEnd"/>
          </w:p>
        </w:tc>
        <w:tc>
          <w:tcPr>
            <w:tcW w:w="1560" w:type="dxa"/>
            <w:vMerge/>
            <w:shd w:val="clear" w:color="auto" w:fill="auto"/>
          </w:tcPr>
          <w:p w:rsidR="00251182" w:rsidRPr="00B35018" w:rsidRDefault="00251182" w:rsidP="006244AE">
            <w:pPr>
              <w:jc w:val="center"/>
              <w:rPr>
                <w:rFonts w:ascii="Comic Sans MS" w:hAnsi="Comic Sans MS"/>
                <w:b/>
                <w:sz w:val="20"/>
                <w:szCs w:val="20"/>
              </w:rPr>
            </w:pPr>
          </w:p>
        </w:tc>
        <w:tc>
          <w:tcPr>
            <w:tcW w:w="3118" w:type="dxa"/>
            <w:vMerge/>
          </w:tcPr>
          <w:p w:rsidR="00251182" w:rsidRPr="00B35018" w:rsidRDefault="00251182" w:rsidP="006244AE">
            <w:pPr>
              <w:rPr>
                <w:rFonts w:ascii="Comic Sans MS" w:hAnsi="Comic Sans MS"/>
                <w:sz w:val="20"/>
                <w:szCs w:val="20"/>
              </w:rPr>
            </w:pPr>
          </w:p>
        </w:tc>
      </w:tr>
      <w:tr w:rsidR="00251182" w:rsidRPr="00B35018" w:rsidTr="00251182">
        <w:trPr>
          <w:trHeight w:val="557"/>
        </w:trPr>
        <w:tc>
          <w:tcPr>
            <w:tcW w:w="1134" w:type="dxa"/>
          </w:tcPr>
          <w:p w:rsidR="00251182" w:rsidRPr="00B35018"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530010</w:t>
            </w:r>
          </w:p>
        </w:tc>
        <w:tc>
          <w:tcPr>
            <w:tcW w:w="993" w:type="dxa"/>
          </w:tcPr>
          <w:p w:rsidR="00251182" w:rsidRPr="00B35018"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720 011</w:t>
            </w:r>
          </w:p>
        </w:tc>
        <w:tc>
          <w:tcPr>
            <w:tcW w:w="3402" w:type="dxa"/>
          </w:tcPr>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r w:rsidRPr="00B35018">
              <w:rPr>
                <w:rFonts w:ascii="Comic Sans MS" w:hAnsi="Comic Sans MS"/>
                <w:sz w:val="20"/>
                <w:szCs w:val="20"/>
              </w:rPr>
              <w:t>Comunicaciones por correo.</w:t>
            </w:r>
          </w:p>
        </w:tc>
        <w:tc>
          <w:tcPr>
            <w:tcW w:w="1560" w:type="dxa"/>
          </w:tcPr>
          <w:p w:rsidR="00251182" w:rsidRDefault="00251182" w:rsidP="006244AE">
            <w:pPr>
              <w:jc w:val="center"/>
              <w:rPr>
                <w:rFonts w:ascii="Comic Sans MS" w:hAnsi="Comic Sans MS"/>
                <w:b/>
                <w:sz w:val="20"/>
                <w:szCs w:val="20"/>
              </w:rPr>
            </w:pPr>
          </w:p>
          <w:p w:rsidR="00251182" w:rsidRPr="00B35018" w:rsidRDefault="00251182" w:rsidP="006244AE">
            <w:pPr>
              <w:jc w:val="center"/>
              <w:rPr>
                <w:rFonts w:ascii="Comic Sans MS" w:hAnsi="Comic Sans MS"/>
                <w:b/>
                <w:sz w:val="20"/>
                <w:szCs w:val="20"/>
              </w:rPr>
            </w:pPr>
            <w:r w:rsidRPr="00B35018">
              <w:rPr>
                <w:rFonts w:ascii="Comic Sans MS" w:hAnsi="Comic Sans MS"/>
                <w:b/>
                <w:sz w:val="20"/>
                <w:szCs w:val="20"/>
              </w:rPr>
              <w:t>6%</w:t>
            </w:r>
          </w:p>
          <w:p w:rsidR="00251182" w:rsidRPr="00B35018" w:rsidRDefault="00251182" w:rsidP="006244AE">
            <w:pPr>
              <w:jc w:val="center"/>
              <w:rPr>
                <w:rFonts w:ascii="Comic Sans MS" w:hAnsi="Comic Sans MS"/>
                <w:b/>
                <w:sz w:val="20"/>
                <w:szCs w:val="20"/>
              </w:rPr>
            </w:pPr>
          </w:p>
        </w:tc>
        <w:tc>
          <w:tcPr>
            <w:tcW w:w="3118" w:type="dxa"/>
            <w:vMerge/>
          </w:tcPr>
          <w:p w:rsidR="00251182" w:rsidRPr="00B35018" w:rsidRDefault="00251182" w:rsidP="006244AE">
            <w:pPr>
              <w:rPr>
                <w:rFonts w:ascii="Comic Sans MS" w:hAnsi="Comic Sans MS"/>
                <w:sz w:val="20"/>
                <w:szCs w:val="20"/>
              </w:rPr>
            </w:pPr>
          </w:p>
        </w:tc>
      </w:tr>
      <w:tr w:rsidR="00251182" w:rsidRPr="00B35018" w:rsidTr="00251182">
        <w:trPr>
          <w:trHeight w:val="1508"/>
        </w:trPr>
        <w:tc>
          <w:tcPr>
            <w:tcW w:w="1134" w:type="dxa"/>
          </w:tcPr>
          <w:p w:rsidR="00251182" w:rsidRDefault="00251182" w:rsidP="006244AE">
            <w:pPr>
              <w:jc w:val="center"/>
              <w:rPr>
                <w:rFonts w:ascii="Comic Sans MS" w:hAnsi="Comic Sans MS"/>
                <w:sz w:val="20"/>
                <w:szCs w:val="20"/>
              </w:rPr>
            </w:pPr>
            <w:r w:rsidRPr="00B35018">
              <w:rPr>
                <w:rFonts w:ascii="Comic Sans MS" w:hAnsi="Comic Sans MS"/>
                <w:sz w:val="20"/>
                <w:szCs w:val="20"/>
              </w:rPr>
              <w:t>370000</w:t>
            </w:r>
          </w:p>
          <w:p w:rsidR="00251182" w:rsidRDefault="00251182" w:rsidP="006244AE">
            <w:pPr>
              <w:jc w:val="center"/>
              <w:rPr>
                <w:rFonts w:ascii="Comic Sans MS" w:hAnsi="Comic Sans MS"/>
                <w:sz w:val="20"/>
                <w:szCs w:val="20"/>
              </w:rPr>
            </w:pPr>
            <w:r>
              <w:rPr>
                <w:rFonts w:ascii="Comic Sans MS" w:hAnsi="Comic Sans MS"/>
                <w:sz w:val="20"/>
                <w:szCs w:val="20"/>
              </w:rPr>
              <w:t>381100</w:t>
            </w:r>
          </w:p>
          <w:p w:rsidR="00251182" w:rsidRDefault="00251182" w:rsidP="006244AE">
            <w:pPr>
              <w:jc w:val="center"/>
              <w:rPr>
                <w:rFonts w:ascii="Comic Sans MS" w:hAnsi="Comic Sans MS"/>
                <w:sz w:val="20"/>
                <w:szCs w:val="20"/>
              </w:rPr>
            </w:pPr>
            <w:r>
              <w:rPr>
                <w:rFonts w:ascii="Comic Sans MS" w:hAnsi="Comic Sans MS"/>
                <w:sz w:val="20"/>
                <w:szCs w:val="20"/>
              </w:rPr>
              <w:t>381200</w:t>
            </w:r>
          </w:p>
          <w:p w:rsidR="00251182" w:rsidRPr="00B35018" w:rsidRDefault="00251182" w:rsidP="006244AE">
            <w:pPr>
              <w:jc w:val="center"/>
              <w:rPr>
                <w:rFonts w:ascii="Comic Sans MS" w:hAnsi="Comic Sans MS"/>
                <w:sz w:val="20"/>
                <w:szCs w:val="20"/>
              </w:rPr>
            </w:pPr>
            <w:r>
              <w:rPr>
                <w:rFonts w:ascii="Comic Sans MS" w:hAnsi="Comic Sans MS"/>
                <w:sz w:val="20"/>
                <w:szCs w:val="20"/>
              </w:rPr>
              <w:t>390000</w:t>
            </w:r>
          </w:p>
        </w:tc>
        <w:tc>
          <w:tcPr>
            <w:tcW w:w="993" w:type="dxa"/>
          </w:tcPr>
          <w:p w:rsidR="00251182" w:rsidRPr="00B35018" w:rsidRDefault="00251182" w:rsidP="006244AE">
            <w:pPr>
              <w:jc w:val="center"/>
              <w:rPr>
                <w:rFonts w:ascii="Comic Sans MS" w:hAnsi="Comic Sans MS"/>
                <w:sz w:val="20"/>
                <w:szCs w:val="20"/>
              </w:rPr>
            </w:pPr>
          </w:p>
          <w:p w:rsidR="00251182" w:rsidRPr="00B35018" w:rsidRDefault="00251182" w:rsidP="006244AE">
            <w:pPr>
              <w:jc w:val="center"/>
              <w:rPr>
                <w:rFonts w:ascii="Comic Sans MS" w:hAnsi="Comic Sans MS"/>
                <w:sz w:val="20"/>
                <w:szCs w:val="20"/>
              </w:rPr>
            </w:pPr>
            <w:r w:rsidRPr="00B35018">
              <w:rPr>
                <w:rFonts w:ascii="Comic Sans MS" w:hAnsi="Comic Sans MS"/>
                <w:sz w:val="20"/>
                <w:szCs w:val="20"/>
              </w:rPr>
              <w:t>920010</w:t>
            </w:r>
          </w:p>
        </w:tc>
        <w:tc>
          <w:tcPr>
            <w:tcW w:w="3402" w:type="dxa"/>
          </w:tcPr>
          <w:p w:rsidR="00251182" w:rsidRPr="00B35018" w:rsidRDefault="00251182" w:rsidP="006244AE">
            <w:pPr>
              <w:rPr>
                <w:rFonts w:ascii="Comic Sans MS" w:hAnsi="Comic Sans MS"/>
                <w:sz w:val="20"/>
                <w:szCs w:val="20"/>
              </w:rPr>
            </w:pPr>
          </w:p>
          <w:p w:rsidR="00251182" w:rsidRPr="00B35018" w:rsidRDefault="00251182" w:rsidP="006244AE">
            <w:pPr>
              <w:rPr>
                <w:rFonts w:ascii="Comic Sans MS" w:hAnsi="Comic Sans MS"/>
                <w:sz w:val="20"/>
                <w:szCs w:val="20"/>
              </w:rPr>
            </w:pPr>
            <w:r w:rsidRPr="00B35018">
              <w:rPr>
                <w:rFonts w:ascii="Comic Sans MS" w:hAnsi="Comic Sans MS"/>
                <w:sz w:val="20"/>
                <w:szCs w:val="20"/>
              </w:rPr>
              <w:t xml:space="preserve">Servicios de saneamiento y similares </w:t>
            </w:r>
          </w:p>
        </w:tc>
        <w:tc>
          <w:tcPr>
            <w:tcW w:w="1560" w:type="dxa"/>
          </w:tcPr>
          <w:p w:rsidR="00251182" w:rsidRPr="00B35018" w:rsidRDefault="00251182" w:rsidP="006244AE">
            <w:pPr>
              <w:jc w:val="center"/>
              <w:rPr>
                <w:rFonts w:ascii="Comic Sans MS" w:hAnsi="Comic Sans MS"/>
                <w:b/>
                <w:sz w:val="20"/>
                <w:szCs w:val="20"/>
              </w:rPr>
            </w:pPr>
          </w:p>
          <w:p w:rsidR="00251182" w:rsidRPr="00B35018" w:rsidRDefault="00251182" w:rsidP="006244AE">
            <w:pPr>
              <w:jc w:val="center"/>
              <w:rPr>
                <w:rFonts w:ascii="Comic Sans MS" w:hAnsi="Comic Sans MS"/>
                <w:b/>
                <w:sz w:val="20"/>
                <w:szCs w:val="20"/>
              </w:rPr>
            </w:pPr>
          </w:p>
          <w:p w:rsidR="00251182" w:rsidRPr="00DE1C09" w:rsidRDefault="00251182" w:rsidP="006244AE">
            <w:pPr>
              <w:jc w:val="center"/>
              <w:rPr>
                <w:rFonts w:ascii="Comic Sans MS" w:hAnsi="Comic Sans MS"/>
                <w:b/>
                <w:sz w:val="20"/>
                <w:szCs w:val="20"/>
              </w:rPr>
            </w:pPr>
            <w:r w:rsidRPr="00B35018">
              <w:rPr>
                <w:rFonts w:ascii="Comic Sans MS" w:hAnsi="Comic Sans MS"/>
                <w:b/>
                <w:sz w:val="20"/>
                <w:szCs w:val="20"/>
              </w:rPr>
              <w:t>4%</w:t>
            </w:r>
          </w:p>
        </w:tc>
        <w:tc>
          <w:tcPr>
            <w:tcW w:w="3118" w:type="dxa"/>
            <w:vMerge/>
          </w:tcPr>
          <w:p w:rsidR="00251182" w:rsidRPr="00B35018" w:rsidRDefault="00251182" w:rsidP="006244AE">
            <w:pPr>
              <w:rPr>
                <w:rFonts w:ascii="Comic Sans MS" w:hAnsi="Comic Sans MS"/>
                <w:sz w:val="20"/>
                <w:szCs w:val="20"/>
              </w:rPr>
            </w:pPr>
          </w:p>
        </w:tc>
      </w:tr>
    </w:tbl>
    <w:p w:rsidR="00251182" w:rsidRPr="001661DA" w:rsidRDefault="00251182" w:rsidP="00251182">
      <w:pPr>
        <w:pStyle w:val="campoocultonovedades"/>
        <w:jc w:val="both"/>
      </w:pPr>
      <w:r w:rsidRPr="001661DA">
        <w:rPr>
          <w:rStyle w:val="destination"/>
        </w:rPr>
        <w:t>I.</w:t>
      </w:r>
      <w:proofErr w:type="gramStart"/>
      <w:r w:rsidRPr="001661DA">
        <w:rPr>
          <w:rStyle w:val="destination"/>
        </w:rPr>
        <w:t>AI.IP.Mendoza.IB.Alicuotas.2008.n</w:t>
      </w:r>
      <w:proofErr w:type="gramEnd"/>
      <w:r w:rsidRPr="001661DA">
        <w:rPr>
          <w:rStyle w:val="destination"/>
        </w:rPr>
        <w:t>12</w:t>
      </w:r>
    </w:p>
    <w:p w:rsidR="00251182" w:rsidRDefault="00251182" w:rsidP="00251182">
      <w:pPr>
        <w:adjustRightInd w:val="0"/>
        <w:rPr>
          <w:rFonts w:ascii="Comic Sans MS" w:eastAsia="Calibri" w:hAnsi="Comic Sans MS" w:cs="Arial"/>
          <w:b/>
          <w:bCs/>
          <w:color w:val="292526"/>
          <w:sz w:val="18"/>
          <w:szCs w:val="18"/>
        </w:rPr>
      </w:pPr>
    </w:p>
    <w:p w:rsidR="00251182" w:rsidRPr="00251182" w:rsidRDefault="00251182" w:rsidP="00251182">
      <w:pPr>
        <w:adjustRightInd w:val="0"/>
        <w:rPr>
          <w:rFonts w:ascii="Arial" w:eastAsia="Calibri" w:hAnsi="Arial" w:cs="Arial"/>
          <w:b/>
          <w:bCs/>
          <w:color w:val="292526"/>
          <w:sz w:val="20"/>
          <w:szCs w:val="20"/>
        </w:rPr>
      </w:pPr>
    </w:p>
    <w:p w:rsidR="00251182" w:rsidRPr="00251182" w:rsidRDefault="00251182" w:rsidP="00251182">
      <w:pPr>
        <w:adjustRightInd w:val="0"/>
        <w:rPr>
          <w:rFonts w:ascii="Arial" w:eastAsia="Calibri" w:hAnsi="Arial" w:cs="Arial"/>
          <w:b/>
          <w:bCs/>
          <w:color w:val="292526"/>
          <w:sz w:val="20"/>
          <w:szCs w:val="20"/>
        </w:rPr>
      </w:pPr>
      <w:r w:rsidRPr="00251182">
        <w:rPr>
          <w:rFonts w:ascii="Arial" w:eastAsia="Calibri" w:hAnsi="Arial" w:cs="Arial"/>
          <w:b/>
          <w:bCs/>
          <w:color w:val="292526"/>
          <w:sz w:val="20"/>
          <w:szCs w:val="20"/>
        </w:rPr>
        <w:t>(*) LEY IMPOSITIVA 2018</w:t>
      </w:r>
    </w:p>
    <w:p w:rsidR="00251182" w:rsidRPr="00251182" w:rsidRDefault="00251182" w:rsidP="00251182">
      <w:pPr>
        <w:adjustRightInd w:val="0"/>
        <w:rPr>
          <w:rFonts w:ascii="Arial" w:eastAsia="Calibri" w:hAnsi="Arial" w:cs="Arial"/>
          <w:b/>
          <w:bCs/>
          <w:color w:val="292526"/>
          <w:sz w:val="20"/>
          <w:szCs w:val="20"/>
        </w:rPr>
      </w:pPr>
      <w:r w:rsidRPr="00251182">
        <w:rPr>
          <w:rFonts w:ascii="Arial" w:eastAsia="Calibri" w:hAnsi="Arial" w:cs="Arial"/>
          <w:b/>
          <w:bCs/>
          <w:color w:val="292526"/>
          <w:sz w:val="20"/>
          <w:szCs w:val="20"/>
        </w:rPr>
        <w:t>DETALLE REFERENCIAS. DE LA PLANTILLA ANALÍTICA ANEXA AL ARTICULO 3°</w:t>
      </w:r>
    </w:p>
    <w:p w:rsidR="00251182" w:rsidRPr="00251182" w:rsidRDefault="00251182" w:rsidP="00251182">
      <w:pPr>
        <w:adjustRightInd w:val="0"/>
        <w:rPr>
          <w:rFonts w:ascii="Arial" w:eastAsia="Calibri" w:hAnsi="Arial" w:cs="Arial"/>
          <w:color w:val="292526"/>
          <w:sz w:val="20"/>
          <w:szCs w:val="20"/>
        </w:rPr>
      </w:pPr>
      <w:r w:rsidRPr="00251182">
        <w:rPr>
          <w:rFonts w:ascii="Arial" w:eastAsia="Calibri" w:hAnsi="Arial" w:cs="Arial"/>
          <w:color w:val="292526"/>
          <w:sz w:val="20"/>
          <w:szCs w:val="20"/>
        </w:rPr>
        <w:t>I) CONSIDERACIONES GENÉRALES</w:t>
      </w:r>
    </w:p>
    <w:p w:rsidR="00251182" w:rsidRPr="00251182" w:rsidRDefault="00251182" w:rsidP="00251182">
      <w:pPr>
        <w:adjustRightInd w:val="0"/>
        <w:rPr>
          <w:rFonts w:ascii="Arial" w:eastAsia="Calibri" w:hAnsi="Arial" w:cs="Arial"/>
          <w:b/>
          <w:bCs/>
          <w:color w:val="292526"/>
          <w:sz w:val="20"/>
          <w:szCs w:val="20"/>
        </w:rPr>
      </w:pPr>
    </w:p>
    <w:p w:rsidR="00251182" w:rsidRPr="00251182" w:rsidRDefault="00251182" w:rsidP="00251182">
      <w:pPr>
        <w:adjustRightInd w:val="0"/>
        <w:rPr>
          <w:rFonts w:ascii="Arial" w:eastAsia="Calibri" w:hAnsi="Arial" w:cs="Arial"/>
          <w:b/>
          <w:bCs/>
          <w:color w:val="292526"/>
          <w:sz w:val="20"/>
          <w:szCs w:val="20"/>
        </w:rPr>
      </w:pPr>
      <w:r w:rsidRPr="00251182">
        <w:rPr>
          <w:rFonts w:ascii="Arial" w:eastAsia="Calibri" w:hAnsi="Arial" w:cs="Arial"/>
          <w:b/>
          <w:bCs/>
          <w:color w:val="292526"/>
          <w:sz w:val="20"/>
          <w:szCs w:val="20"/>
        </w:rPr>
        <w:t>“… 2) Actividades incluidas en los Rubros… 9: Transporte y almacenamiento, 10: Comunicaciones … y 16: Servicios sociales comunales y personales.</w:t>
      </w:r>
    </w:p>
    <w:p w:rsidR="00251182" w:rsidRPr="00251182" w:rsidRDefault="00251182" w:rsidP="00251182">
      <w:pPr>
        <w:adjustRightInd w:val="0"/>
        <w:rPr>
          <w:rFonts w:ascii="Arial" w:eastAsia="Calibri" w:hAnsi="Arial" w:cs="Arial"/>
          <w:color w:val="292526"/>
          <w:sz w:val="20"/>
          <w:szCs w:val="20"/>
        </w:rPr>
      </w:pPr>
    </w:p>
    <w:p w:rsidR="00251182" w:rsidRPr="00251182" w:rsidRDefault="00251182" w:rsidP="00251182">
      <w:pPr>
        <w:adjustRightInd w:val="0"/>
        <w:rPr>
          <w:rFonts w:ascii="Arial" w:eastAsia="Calibri" w:hAnsi="Arial" w:cs="Arial"/>
          <w:color w:val="292526"/>
          <w:sz w:val="20"/>
          <w:szCs w:val="20"/>
        </w:rPr>
      </w:pPr>
      <w:r w:rsidRPr="00251182">
        <w:rPr>
          <w:rFonts w:ascii="Arial" w:eastAsia="Calibri" w:hAnsi="Arial" w:cs="Arial"/>
          <w:color w:val="292526"/>
          <w:sz w:val="20"/>
          <w:szCs w:val="20"/>
        </w:rPr>
        <w:t>Se incrementará la alícuota que corresponda tributar de acuerdo a la siguiente escala:</w:t>
      </w:r>
    </w:p>
    <w:p w:rsidR="00251182" w:rsidRPr="00251182" w:rsidRDefault="00251182" w:rsidP="00251182">
      <w:pPr>
        <w:adjustRightInd w:val="0"/>
        <w:rPr>
          <w:rFonts w:ascii="Arial" w:eastAsia="Calibri" w:hAnsi="Arial" w:cs="Arial"/>
          <w:b/>
          <w:color w:val="292526"/>
          <w:sz w:val="20"/>
          <w:szCs w:val="20"/>
        </w:rPr>
      </w:pPr>
    </w:p>
    <w:p w:rsidR="00251182" w:rsidRPr="00251182" w:rsidRDefault="00251182" w:rsidP="00251182">
      <w:pPr>
        <w:adjustRightInd w:val="0"/>
        <w:rPr>
          <w:rFonts w:ascii="Arial" w:eastAsia="SimSun" w:hAnsi="Arial" w:cs="Arial"/>
          <w:color w:val="292526"/>
          <w:sz w:val="20"/>
          <w:szCs w:val="20"/>
          <w:lang w:val="es-AR" w:eastAsia="zh-CN"/>
        </w:rPr>
      </w:pPr>
      <w:r w:rsidRPr="00251182">
        <w:rPr>
          <w:rFonts w:ascii="Arial" w:eastAsia="SimSun" w:hAnsi="Arial" w:cs="Arial"/>
          <w:color w:val="292526"/>
          <w:sz w:val="20"/>
          <w:szCs w:val="20"/>
          <w:lang w:val="es-AR" w:eastAsia="zh-CN"/>
        </w:rPr>
        <w:t xml:space="preserve">a) </w:t>
      </w:r>
      <w:r w:rsidRPr="00251182">
        <w:rPr>
          <w:rFonts w:ascii="Arial" w:eastAsia="SimSun" w:hAnsi="Arial" w:cs="Arial"/>
          <w:color w:val="292526"/>
          <w:sz w:val="20"/>
          <w:szCs w:val="20"/>
          <w:lang w:eastAsia="zh-CN"/>
        </w:rPr>
        <w:t xml:space="preserve">Cinco por mil (5‰), para el total de ingresos comprendidos entre la suma de pesos treinta millones </w:t>
      </w:r>
      <w:r w:rsidRPr="00251182">
        <w:rPr>
          <w:rFonts w:ascii="Arial" w:eastAsia="SimSun" w:hAnsi="Arial" w:cs="Arial"/>
          <w:color w:val="292526"/>
          <w:sz w:val="20"/>
          <w:szCs w:val="20"/>
          <w:highlight w:val="yellow"/>
          <w:lang w:val="es-AR" w:eastAsia="zh-CN"/>
        </w:rPr>
        <w:t>($ 30.000.000)</w:t>
      </w:r>
      <w:r w:rsidRPr="00251182">
        <w:rPr>
          <w:rFonts w:ascii="Arial" w:eastAsia="SimSun" w:hAnsi="Arial" w:cs="Arial"/>
          <w:color w:val="292526"/>
          <w:sz w:val="20"/>
          <w:szCs w:val="20"/>
          <w:lang w:eastAsia="zh-CN"/>
        </w:rPr>
        <w:t xml:space="preserve"> y pesos sesenta millones </w:t>
      </w:r>
      <w:r w:rsidRPr="00251182">
        <w:rPr>
          <w:rFonts w:ascii="Arial" w:eastAsia="SimSun" w:hAnsi="Arial" w:cs="Arial"/>
          <w:color w:val="292526"/>
          <w:sz w:val="20"/>
          <w:szCs w:val="20"/>
          <w:highlight w:val="yellow"/>
          <w:lang w:val="es-AR" w:eastAsia="zh-CN"/>
        </w:rPr>
        <w:t>($ 60.000.000)</w:t>
      </w:r>
      <w:r w:rsidRPr="00251182">
        <w:rPr>
          <w:rFonts w:ascii="Arial" w:eastAsia="SimSun" w:hAnsi="Arial" w:cs="Arial"/>
          <w:color w:val="292526"/>
          <w:sz w:val="20"/>
          <w:szCs w:val="20"/>
          <w:lang w:eastAsia="zh-CN"/>
        </w:rPr>
        <w:t>.</w:t>
      </w:r>
    </w:p>
    <w:p w:rsidR="00251182" w:rsidRPr="00251182" w:rsidRDefault="00251182" w:rsidP="00251182">
      <w:pPr>
        <w:adjustRightInd w:val="0"/>
        <w:rPr>
          <w:rFonts w:ascii="Arial" w:eastAsia="SimSun" w:hAnsi="Arial" w:cs="Arial"/>
          <w:color w:val="292526"/>
          <w:sz w:val="20"/>
          <w:szCs w:val="20"/>
          <w:lang w:val="es-AR" w:eastAsia="zh-CN"/>
        </w:rPr>
      </w:pPr>
    </w:p>
    <w:p w:rsidR="00251182" w:rsidRPr="00251182" w:rsidRDefault="00251182" w:rsidP="00251182">
      <w:pPr>
        <w:adjustRightInd w:val="0"/>
        <w:rPr>
          <w:rFonts w:ascii="Arial" w:eastAsia="SimSun" w:hAnsi="Arial" w:cs="Arial"/>
          <w:color w:val="292526"/>
          <w:sz w:val="20"/>
          <w:szCs w:val="20"/>
          <w:lang w:eastAsia="zh-CN"/>
        </w:rPr>
      </w:pPr>
      <w:r w:rsidRPr="00251182">
        <w:rPr>
          <w:rFonts w:ascii="Arial" w:eastAsia="SimSun" w:hAnsi="Arial" w:cs="Arial"/>
          <w:color w:val="292526"/>
          <w:sz w:val="20"/>
          <w:szCs w:val="20"/>
          <w:lang w:val="es-AR" w:eastAsia="zh-CN"/>
        </w:rPr>
        <w:t xml:space="preserve">b) </w:t>
      </w:r>
      <w:r w:rsidRPr="00251182">
        <w:rPr>
          <w:rFonts w:ascii="Arial" w:eastAsia="SimSun" w:hAnsi="Arial" w:cs="Arial"/>
          <w:color w:val="292526"/>
          <w:sz w:val="20"/>
          <w:szCs w:val="20"/>
          <w:lang w:eastAsia="zh-CN"/>
        </w:rPr>
        <w:t xml:space="preserve">Siete y medio por mil (7,5‰), para el total de ingresos comprendidos entre la suma de pesos sesenta millones uno </w:t>
      </w:r>
      <w:r w:rsidRPr="00251182">
        <w:rPr>
          <w:rFonts w:ascii="Arial" w:eastAsia="SimSun" w:hAnsi="Arial" w:cs="Arial"/>
          <w:color w:val="292526"/>
          <w:sz w:val="20"/>
          <w:szCs w:val="20"/>
          <w:highlight w:val="yellow"/>
          <w:lang w:val="es-AR" w:eastAsia="zh-CN"/>
        </w:rPr>
        <w:t>($ 60.000.001)</w:t>
      </w:r>
      <w:r w:rsidRPr="00251182">
        <w:rPr>
          <w:rFonts w:ascii="Arial" w:eastAsia="SimSun" w:hAnsi="Arial" w:cs="Arial"/>
          <w:color w:val="292526"/>
          <w:sz w:val="20"/>
          <w:szCs w:val="20"/>
          <w:lang w:eastAsia="zh-CN"/>
        </w:rPr>
        <w:t xml:space="preserve"> y pesos ciento dos millones quinientos mil </w:t>
      </w:r>
      <w:r w:rsidRPr="00251182">
        <w:rPr>
          <w:rFonts w:ascii="Arial" w:eastAsia="SimSun" w:hAnsi="Arial" w:cs="Arial"/>
          <w:color w:val="292526"/>
          <w:sz w:val="20"/>
          <w:szCs w:val="20"/>
          <w:highlight w:val="yellow"/>
          <w:lang w:val="es-AR" w:eastAsia="zh-CN"/>
        </w:rPr>
        <w:t>($ 102.500.000)</w:t>
      </w:r>
      <w:r w:rsidRPr="00251182">
        <w:rPr>
          <w:rFonts w:ascii="Arial" w:eastAsia="SimSun" w:hAnsi="Arial" w:cs="Arial"/>
          <w:color w:val="292526"/>
          <w:sz w:val="20"/>
          <w:szCs w:val="20"/>
          <w:lang w:eastAsia="zh-CN"/>
        </w:rPr>
        <w:t>.</w:t>
      </w:r>
    </w:p>
    <w:p w:rsidR="00251182" w:rsidRPr="00251182" w:rsidRDefault="00251182" w:rsidP="00251182">
      <w:pPr>
        <w:adjustRightInd w:val="0"/>
        <w:rPr>
          <w:rFonts w:ascii="Arial" w:eastAsia="SimSun" w:hAnsi="Arial" w:cs="Arial"/>
          <w:color w:val="292526"/>
          <w:sz w:val="20"/>
          <w:szCs w:val="20"/>
          <w:lang w:val="es-AR" w:eastAsia="zh-CN"/>
        </w:rPr>
      </w:pPr>
    </w:p>
    <w:p w:rsidR="00251182" w:rsidRPr="00251182" w:rsidRDefault="00251182" w:rsidP="00251182">
      <w:pPr>
        <w:adjustRightInd w:val="0"/>
        <w:rPr>
          <w:rFonts w:ascii="Arial" w:eastAsia="SimSun" w:hAnsi="Arial" w:cs="Arial"/>
          <w:color w:val="292526"/>
          <w:sz w:val="20"/>
          <w:szCs w:val="20"/>
          <w:lang w:val="es-AR" w:eastAsia="zh-CN"/>
        </w:rPr>
      </w:pPr>
      <w:r w:rsidRPr="00251182">
        <w:rPr>
          <w:rFonts w:ascii="Arial" w:eastAsia="SimSun" w:hAnsi="Arial" w:cs="Arial"/>
          <w:color w:val="292526"/>
          <w:sz w:val="20"/>
          <w:szCs w:val="20"/>
          <w:lang w:val="es-AR" w:eastAsia="zh-CN"/>
        </w:rPr>
        <w:t>c) U</w:t>
      </w:r>
      <w:r w:rsidRPr="00251182">
        <w:rPr>
          <w:rFonts w:ascii="Arial" w:eastAsia="SimSun" w:hAnsi="Arial" w:cs="Arial"/>
          <w:color w:val="292526"/>
          <w:sz w:val="20"/>
          <w:szCs w:val="20"/>
          <w:lang w:eastAsia="zh-CN"/>
        </w:rPr>
        <w:t xml:space="preserve">no por ciento (1%), para el total de ingresos que superen los pesos ciento dos millones quinientos mil </w:t>
      </w:r>
      <w:r w:rsidRPr="00251182">
        <w:rPr>
          <w:rFonts w:ascii="Arial" w:eastAsia="SimSun" w:hAnsi="Arial" w:cs="Arial"/>
          <w:color w:val="292526"/>
          <w:sz w:val="20"/>
          <w:szCs w:val="20"/>
          <w:highlight w:val="yellow"/>
          <w:lang w:val="es-AR" w:eastAsia="zh-CN"/>
        </w:rPr>
        <w:t>($ 102.500.000</w:t>
      </w:r>
      <w:proofErr w:type="gramStart"/>
      <w:r w:rsidRPr="00251182">
        <w:rPr>
          <w:rFonts w:ascii="Arial" w:eastAsia="SimSun" w:hAnsi="Arial" w:cs="Arial"/>
          <w:color w:val="292526"/>
          <w:sz w:val="20"/>
          <w:szCs w:val="20"/>
          <w:highlight w:val="yellow"/>
          <w:lang w:val="es-AR" w:eastAsia="zh-CN"/>
        </w:rPr>
        <w:t>)</w:t>
      </w:r>
      <w:r w:rsidRPr="00251182">
        <w:rPr>
          <w:rFonts w:ascii="Arial" w:eastAsia="SimSun" w:hAnsi="Arial" w:cs="Arial"/>
          <w:color w:val="292526"/>
          <w:sz w:val="20"/>
          <w:szCs w:val="20"/>
          <w:lang w:eastAsia="zh-CN"/>
        </w:rPr>
        <w:t>.</w:t>
      </w:r>
      <w:r w:rsidRPr="00251182">
        <w:rPr>
          <w:rFonts w:ascii="Arial" w:eastAsia="SimSun" w:hAnsi="Arial" w:cs="Arial"/>
          <w:color w:val="292526"/>
          <w:sz w:val="20"/>
          <w:szCs w:val="20"/>
          <w:highlight w:val="yellow"/>
          <w:lang w:val="es-AR" w:eastAsia="zh-CN"/>
        </w:rPr>
        <w:t>$</w:t>
      </w:r>
      <w:proofErr w:type="gramEnd"/>
      <w:r w:rsidRPr="00251182">
        <w:rPr>
          <w:rFonts w:ascii="Arial" w:eastAsia="SimSun" w:hAnsi="Arial" w:cs="Arial"/>
          <w:color w:val="292526"/>
          <w:sz w:val="20"/>
          <w:szCs w:val="20"/>
          <w:highlight w:val="yellow"/>
          <w:lang w:val="es-AR" w:eastAsia="zh-CN"/>
        </w:rPr>
        <w:t xml:space="preserve"> 82.000.000</w:t>
      </w:r>
      <w:r w:rsidRPr="00251182">
        <w:rPr>
          <w:rFonts w:ascii="Arial" w:eastAsia="SimSun" w:hAnsi="Arial" w:cs="Arial"/>
          <w:color w:val="292526"/>
          <w:sz w:val="20"/>
          <w:szCs w:val="20"/>
          <w:lang w:val="es-AR" w:eastAsia="zh-CN"/>
        </w:rPr>
        <w:t>).</w:t>
      </w:r>
    </w:p>
    <w:p w:rsidR="00251182" w:rsidRPr="00251182" w:rsidRDefault="00251182" w:rsidP="00251182">
      <w:pPr>
        <w:adjustRightInd w:val="0"/>
        <w:rPr>
          <w:rFonts w:ascii="Arial" w:eastAsia="SimSun" w:hAnsi="Arial" w:cs="Arial"/>
          <w:color w:val="292526"/>
          <w:sz w:val="20"/>
          <w:szCs w:val="20"/>
          <w:lang w:val="es-AR" w:eastAsia="zh-CN"/>
        </w:rPr>
      </w:pPr>
    </w:p>
    <w:p w:rsidR="00251182" w:rsidRPr="00251182" w:rsidRDefault="00251182" w:rsidP="00251182">
      <w:pPr>
        <w:adjustRightInd w:val="0"/>
        <w:rPr>
          <w:rFonts w:ascii="Arial" w:eastAsia="SimSun" w:hAnsi="Arial" w:cs="Arial"/>
          <w:color w:val="292526"/>
          <w:sz w:val="20"/>
          <w:szCs w:val="20"/>
          <w:lang w:val="es-AR" w:eastAsia="zh-CN"/>
        </w:rPr>
      </w:pPr>
      <w:r w:rsidRPr="00251182">
        <w:rPr>
          <w:rFonts w:ascii="Arial" w:eastAsia="SimSun" w:hAnsi="Arial" w:cs="Arial"/>
          <w:color w:val="292526"/>
          <w:sz w:val="20"/>
          <w:szCs w:val="20"/>
          <w:lang w:val="es-AR" w:eastAsia="zh-CN"/>
        </w:rPr>
        <w:t>A fin de determinar la escala correspondiente se computará el total de los ingresos gravados, no gravados y exentos obtenidos por el contribuyente en el periodo fiscal anterior, dentro o fuera de la provincia por el desarrollo de cualquier actividad.</w:t>
      </w:r>
    </w:p>
    <w:p w:rsidR="00251182" w:rsidRPr="00251182" w:rsidRDefault="00251182" w:rsidP="00251182">
      <w:pPr>
        <w:adjustRightInd w:val="0"/>
        <w:rPr>
          <w:rFonts w:ascii="Arial" w:eastAsia="SimSun" w:hAnsi="Arial" w:cs="Arial"/>
          <w:color w:val="292526"/>
          <w:sz w:val="20"/>
          <w:szCs w:val="20"/>
          <w:lang w:val="es-AR" w:eastAsia="zh-CN"/>
        </w:rPr>
      </w:pPr>
    </w:p>
    <w:p w:rsidR="00251182" w:rsidRPr="00251182" w:rsidRDefault="00251182" w:rsidP="00251182">
      <w:pPr>
        <w:adjustRightInd w:val="0"/>
        <w:rPr>
          <w:rFonts w:ascii="Arial" w:eastAsia="SimSun" w:hAnsi="Arial" w:cs="Arial"/>
          <w:color w:val="292526"/>
          <w:sz w:val="20"/>
          <w:szCs w:val="20"/>
          <w:lang w:val="es-AR" w:eastAsia="zh-CN"/>
        </w:rPr>
      </w:pPr>
      <w:r w:rsidRPr="00251182">
        <w:rPr>
          <w:rFonts w:ascii="Arial" w:eastAsia="SimSun" w:hAnsi="Arial" w:cs="Arial"/>
          <w:color w:val="292526"/>
          <w:sz w:val="20"/>
          <w:szCs w:val="20"/>
          <w:lang w:val="es-AR" w:eastAsia="zh-CN"/>
        </w:rPr>
        <w:t xml:space="preserve">Cuando se trate de contribuyentes que hayan iniciado actividades durante el ejercicio fiscal en curso, quedarán comprendidos en el tratamiento del párrafo anterior, siempre que el total de los ingresos gravados, no gravados y exentos obtenidos por el contribuyente durante los dos primeros meses a partir del inicio de las mismas supere la suma de pesos ocho millones </w:t>
      </w:r>
      <w:r w:rsidRPr="00251182">
        <w:rPr>
          <w:rFonts w:ascii="Arial" w:eastAsia="SimSun" w:hAnsi="Arial" w:cs="Arial"/>
          <w:color w:val="292526"/>
          <w:sz w:val="20"/>
          <w:szCs w:val="20"/>
          <w:highlight w:val="yellow"/>
          <w:lang w:val="es-AR" w:eastAsia="zh-CN"/>
        </w:rPr>
        <w:t>($ 8.000.000)</w:t>
      </w:r>
      <w:r w:rsidRPr="00251182">
        <w:rPr>
          <w:rFonts w:ascii="Arial" w:eastAsia="SimSun" w:hAnsi="Arial" w:cs="Arial"/>
          <w:color w:val="292526"/>
          <w:sz w:val="20"/>
          <w:szCs w:val="20"/>
          <w:lang w:val="es-AR" w:eastAsia="zh-CN"/>
        </w:rPr>
        <w:t xml:space="preserve">, pesos dieciséis millones </w:t>
      </w:r>
      <w:r w:rsidRPr="00251182">
        <w:rPr>
          <w:rFonts w:ascii="Arial" w:eastAsia="SimSun" w:hAnsi="Arial" w:cs="Arial"/>
          <w:color w:val="292526"/>
          <w:sz w:val="20"/>
          <w:szCs w:val="20"/>
          <w:highlight w:val="yellow"/>
          <w:lang w:val="es-AR" w:eastAsia="zh-CN"/>
        </w:rPr>
        <w:t>($ 16.000.000)</w:t>
      </w:r>
      <w:r w:rsidRPr="00251182">
        <w:rPr>
          <w:rFonts w:ascii="Arial" w:eastAsia="SimSun" w:hAnsi="Arial" w:cs="Arial"/>
          <w:color w:val="292526"/>
          <w:sz w:val="20"/>
          <w:szCs w:val="20"/>
          <w:lang w:val="es-AR" w:eastAsia="zh-CN"/>
        </w:rPr>
        <w:t xml:space="preserve"> y pesos veinticuatro millones </w:t>
      </w:r>
      <w:r w:rsidRPr="00251182">
        <w:rPr>
          <w:rFonts w:ascii="Arial" w:eastAsia="SimSun" w:hAnsi="Arial" w:cs="Arial"/>
          <w:color w:val="292526"/>
          <w:sz w:val="20"/>
          <w:szCs w:val="20"/>
          <w:highlight w:val="yellow"/>
          <w:lang w:val="es-AR" w:eastAsia="zh-CN"/>
        </w:rPr>
        <w:t>($ 24.000.000)</w:t>
      </w:r>
      <w:r w:rsidRPr="00251182">
        <w:rPr>
          <w:rFonts w:ascii="Arial" w:eastAsia="SimSun" w:hAnsi="Arial" w:cs="Arial"/>
          <w:color w:val="292526"/>
          <w:sz w:val="20"/>
          <w:szCs w:val="20"/>
          <w:lang w:val="es-AR" w:eastAsia="zh-CN"/>
        </w:rPr>
        <w:t xml:space="preserve"> respectivamente para cada uno de los incisos anteriores.</w:t>
      </w:r>
    </w:p>
    <w:p w:rsidR="00251182" w:rsidRPr="00251182" w:rsidRDefault="00251182" w:rsidP="00251182">
      <w:pPr>
        <w:adjustRightInd w:val="0"/>
        <w:rPr>
          <w:rFonts w:ascii="Arial" w:eastAsia="SimSun" w:hAnsi="Arial" w:cs="Arial"/>
          <w:color w:val="292526"/>
          <w:sz w:val="20"/>
          <w:szCs w:val="20"/>
          <w:lang w:val="es-AR" w:eastAsia="zh-CN"/>
        </w:rPr>
      </w:pPr>
    </w:p>
    <w:p w:rsidR="00251182" w:rsidRPr="00251182" w:rsidRDefault="00251182" w:rsidP="00251182">
      <w:pPr>
        <w:adjustRightInd w:val="0"/>
        <w:rPr>
          <w:rFonts w:ascii="Arial" w:eastAsia="SimSun" w:hAnsi="Arial" w:cs="Arial"/>
          <w:color w:val="292526"/>
          <w:sz w:val="20"/>
          <w:szCs w:val="20"/>
          <w:lang w:val="es-AR" w:eastAsia="zh-CN"/>
        </w:rPr>
      </w:pPr>
      <w:r w:rsidRPr="00251182">
        <w:rPr>
          <w:rFonts w:ascii="Arial" w:eastAsia="SimSun" w:hAnsi="Arial" w:cs="Arial"/>
          <w:color w:val="292526"/>
          <w:sz w:val="20"/>
          <w:szCs w:val="20"/>
          <w:lang w:val="es-AR" w:eastAsia="zh-CN"/>
        </w:rPr>
        <w:t>La alícuota establecida resultará aplicable exclusivamente a los ingresos provenientes de las actividades mencionadas, con el límite de ingresos atribuidos a la Provincia de Mendoza por esa misma actividad, para el supuesto de contribuyentes comprendidos en el régimen del Convenio Multilateral…</w:t>
      </w:r>
    </w:p>
    <w:p w:rsidR="00251182" w:rsidRPr="00251182" w:rsidRDefault="00251182" w:rsidP="00251182">
      <w:pPr>
        <w:adjustRightInd w:val="0"/>
        <w:rPr>
          <w:rFonts w:ascii="Arial" w:eastAsia="Calibri" w:hAnsi="Arial" w:cs="Arial"/>
          <w:color w:val="292526"/>
          <w:sz w:val="20"/>
          <w:szCs w:val="20"/>
        </w:rPr>
      </w:pPr>
    </w:p>
    <w:p w:rsidR="00251182" w:rsidRPr="00251182" w:rsidRDefault="00251182" w:rsidP="00251182">
      <w:pPr>
        <w:adjustRightInd w:val="0"/>
        <w:rPr>
          <w:rFonts w:ascii="Arial" w:eastAsia="Calibri" w:hAnsi="Arial" w:cs="Arial"/>
          <w:color w:val="292526"/>
          <w:sz w:val="20"/>
          <w:szCs w:val="20"/>
          <w:lang w:val="es-AR"/>
        </w:rPr>
      </w:pPr>
      <w:r w:rsidRPr="00251182">
        <w:rPr>
          <w:rFonts w:ascii="Arial" w:eastAsia="Calibri" w:hAnsi="Arial" w:cs="Arial"/>
          <w:b/>
          <w:color w:val="292526"/>
          <w:sz w:val="20"/>
          <w:szCs w:val="20"/>
        </w:rPr>
        <w:t>(**)</w:t>
      </w:r>
      <w:r w:rsidRPr="00251182">
        <w:rPr>
          <w:rFonts w:ascii="Arial" w:eastAsia="Calibri" w:hAnsi="Arial" w:cs="Arial"/>
          <w:color w:val="292526"/>
          <w:sz w:val="20"/>
          <w:szCs w:val="20"/>
        </w:rPr>
        <w:t xml:space="preserve"> Nota 10 de </w:t>
      </w:r>
      <w:r w:rsidRPr="00251182">
        <w:rPr>
          <w:rFonts w:ascii="Arial" w:eastAsia="Calibri" w:hAnsi="Arial" w:cs="Arial"/>
          <w:color w:val="292526"/>
          <w:sz w:val="20"/>
          <w:szCs w:val="20"/>
          <w:lang w:val="es-AR"/>
        </w:rPr>
        <w:t>Los códigos de actividad (711411) y (711225), tributarán el dos y medio por ciento (2,5%) cuando el contribuyente:</w:t>
      </w:r>
    </w:p>
    <w:p w:rsidR="00251182" w:rsidRPr="00251182" w:rsidRDefault="00251182" w:rsidP="00251182">
      <w:pPr>
        <w:adjustRightInd w:val="0"/>
        <w:rPr>
          <w:rFonts w:ascii="Arial" w:eastAsia="Calibri" w:hAnsi="Arial" w:cs="Arial"/>
          <w:color w:val="292526"/>
          <w:sz w:val="20"/>
          <w:szCs w:val="20"/>
          <w:lang w:val="es-AR"/>
        </w:rPr>
      </w:pPr>
      <w:r w:rsidRPr="00251182">
        <w:rPr>
          <w:rFonts w:ascii="Arial" w:eastAsia="Calibri" w:hAnsi="Arial" w:cs="Arial"/>
          <w:color w:val="292526"/>
          <w:sz w:val="20"/>
          <w:szCs w:val="20"/>
          <w:lang w:val="es-AR"/>
        </w:rPr>
        <w:lastRenderedPageBreak/>
        <w:t>a) se encuentre al día en el pago de los impuestos inmobiliario, a los automotores y sobre los ingresos brutos del ejercicio corriente;</w:t>
      </w:r>
    </w:p>
    <w:p w:rsidR="00251182" w:rsidRPr="00251182" w:rsidRDefault="00251182" w:rsidP="00251182">
      <w:pPr>
        <w:adjustRightInd w:val="0"/>
        <w:rPr>
          <w:rFonts w:ascii="Arial" w:eastAsia="Calibri" w:hAnsi="Arial" w:cs="Arial"/>
          <w:color w:val="292526"/>
          <w:sz w:val="20"/>
          <w:szCs w:val="20"/>
          <w:lang w:val="es-AR"/>
        </w:rPr>
      </w:pPr>
      <w:r w:rsidRPr="00251182">
        <w:rPr>
          <w:rFonts w:ascii="Arial" w:eastAsia="Calibri" w:hAnsi="Arial" w:cs="Arial"/>
          <w:color w:val="292526"/>
          <w:sz w:val="20"/>
          <w:szCs w:val="20"/>
          <w:lang w:val="es-AR"/>
        </w:rPr>
        <w:t>b) tenga radicados en la Provincia todos los vehículos afectados al desarrollo de la actividad que se trate, o hacerlo en un plazo de seis (6) meses corridos, computados a partir del inicio de la misma en Mendoza;</w:t>
      </w:r>
    </w:p>
    <w:p w:rsidR="00251182" w:rsidRPr="00251182" w:rsidRDefault="00251182" w:rsidP="00251182">
      <w:pPr>
        <w:adjustRightInd w:val="0"/>
        <w:rPr>
          <w:rFonts w:ascii="Arial" w:eastAsia="Calibri" w:hAnsi="Arial" w:cs="Arial"/>
          <w:color w:val="292526"/>
          <w:sz w:val="20"/>
          <w:szCs w:val="20"/>
          <w:lang w:val="es-AR"/>
        </w:rPr>
      </w:pPr>
      <w:r w:rsidRPr="00251182">
        <w:rPr>
          <w:rFonts w:ascii="Arial" w:eastAsia="Calibri" w:hAnsi="Arial" w:cs="Arial"/>
          <w:color w:val="292526"/>
          <w:sz w:val="20"/>
          <w:szCs w:val="20"/>
          <w:lang w:val="es-AR"/>
        </w:rPr>
        <w:t>c) no registre deuda no regularizada en los impuestos inmobiliario, a los sellos, a los automotores y sobre los ingresos brutos, por los ejercicios vencidos, o multas impuestas por el organismo regulador.</w:t>
      </w:r>
    </w:p>
    <w:p w:rsidR="00251182" w:rsidRPr="00251182" w:rsidRDefault="00251182" w:rsidP="00251182">
      <w:pPr>
        <w:adjustRightInd w:val="0"/>
        <w:rPr>
          <w:rFonts w:ascii="Arial" w:eastAsia="Calibri" w:hAnsi="Arial" w:cs="Arial"/>
          <w:color w:val="292526"/>
          <w:sz w:val="20"/>
          <w:szCs w:val="20"/>
          <w:lang w:val="es-AR"/>
        </w:rPr>
      </w:pPr>
      <w:r w:rsidRPr="00251182">
        <w:rPr>
          <w:rFonts w:ascii="Arial" w:eastAsia="Calibri" w:hAnsi="Arial" w:cs="Arial"/>
          <w:color w:val="292526"/>
          <w:sz w:val="20"/>
          <w:szCs w:val="20"/>
          <w:lang w:val="es-AR"/>
        </w:rPr>
        <w:t xml:space="preserve">En caso de detectarse la existencia de deudas, la Administración Tributaria Mendoza, deberá requerir su pago. No perderán el beneficio, en el caso que la deuda que registren por el Ejercicio a que se refiere el beneficio, sea igual o inferior al diez por ciento (10%) del total de impuestos que por todo concepto debió </w:t>
      </w:r>
      <w:proofErr w:type="spellStart"/>
      <w:r w:rsidRPr="00251182">
        <w:rPr>
          <w:rFonts w:ascii="Arial" w:eastAsia="Calibri" w:hAnsi="Arial" w:cs="Arial"/>
          <w:color w:val="292526"/>
          <w:sz w:val="20"/>
          <w:szCs w:val="20"/>
          <w:lang w:val="es-AR"/>
        </w:rPr>
        <w:t>oblar</w:t>
      </w:r>
      <w:proofErr w:type="spellEnd"/>
      <w:r w:rsidRPr="00251182">
        <w:rPr>
          <w:rFonts w:ascii="Arial" w:eastAsia="Calibri" w:hAnsi="Arial" w:cs="Arial"/>
          <w:color w:val="292526"/>
          <w:sz w:val="20"/>
          <w:szCs w:val="20"/>
          <w:lang w:val="es-AR"/>
        </w:rPr>
        <w:t xml:space="preserve"> en el año de que se trate, siempre y cuando cancelen dicha deuda, dentro de los treinta (30) días desde el emplazamiento efectuado por Administración Tributaria Mendoza. En caso de decaimiento del beneficio, los importes abonados serán considerados como pagos definitivos, no siendo susceptibles de ser repetidos ni compensados.</w:t>
      </w:r>
    </w:p>
    <w:p w:rsidR="00251182" w:rsidRPr="00251182" w:rsidRDefault="00251182" w:rsidP="00251182">
      <w:pPr>
        <w:adjustRightInd w:val="0"/>
        <w:rPr>
          <w:rFonts w:ascii="Arial" w:eastAsia="Calibri" w:hAnsi="Arial" w:cs="Arial"/>
          <w:color w:val="292526"/>
          <w:sz w:val="20"/>
          <w:szCs w:val="20"/>
          <w:lang w:val="es-AR"/>
        </w:rPr>
      </w:pPr>
    </w:p>
    <w:p w:rsidR="00251182" w:rsidRPr="00251182" w:rsidRDefault="00251182" w:rsidP="00251182">
      <w:pPr>
        <w:adjustRightInd w:val="0"/>
        <w:rPr>
          <w:rFonts w:ascii="Arial" w:eastAsia="Calibri" w:hAnsi="Arial" w:cs="Arial"/>
          <w:b/>
          <w:color w:val="292526"/>
          <w:sz w:val="20"/>
          <w:szCs w:val="20"/>
        </w:rPr>
      </w:pPr>
    </w:p>
    <w:p w:rsidR="00251182" w:rsidRPr="00251182" w:rsidRDefault="00251182" w:rsidP="00251182">
      <w:pPr>
        <w:adjustRightInd w:val="0"/>
        <w:rPr>
          <w:rFonts w:ascii="Arial" w:eastAsia="Calibri" w:hAnsi="Arial" w:cs="Arial"/>
          <w:color w:val="292526"/>
          <w:sz w:val="20"/>
          <w:szCs w:val="20"/>
        </w:rPr>
      </w:pPr>
      <w:r w:rsidRPr="00251182">
        <w:rPr>
          <w:rFonts w:ascii="Arial" w:eastAsia="Calibri" w:hAnsi="Arial" w:cs="Arial"/>
          <w:b/>
          <w:color w:val="292526"/>
          <w:sz w:val="20"/>
          <w:szCs w:val="20"/>
        </w:rPr>
        <w:t>(***)</w:t>
      </w:r>
      <w:r w:rsidRPr="00251182">
        <w:rPr>
          <w:rFonts w:ascii="Arial" w:eastAsia="Calibri" w:hAnsi="Arial" w:cs="Arial"/>
          <w:color w:val="292526"/>
          <w:sz w:val="20"/>
          <w:szCs w:val="20"/>
        </w:rPr>
        <w:t xml:space="preserve"> La ley 9022 no contiene en sus notas la acl</w:t>
      </w:r>
      <w:smartTag w:uri="urn:schemas-microsoft-com:office:smarttags" w:element="PersonName">
        <w:r w:rsidRPr="00251182">
          <w:rPr>
            <w:rFonts w:ascii="Arial" w:eastAsia="Calibri" w:hAnsi="Arial" w:cs="Arial"/>
            <w:color w:val="292526"/>
            <w:sz w:val="20"/>
            <w:szCs w:val="20"/>
          </w:rPr>
          <w:t>ar</w:t>
        </w:r>
      </w:smartTag>
      <w:r w:rsidRPr="00251182">
        <w:rPr>
          <w:rFonts w:ascii="Arial" w:eastAsia="Calibri" w:hAnsi="Arial" w:cs="Arial"/>
          <w:color w:val="292526"/>
          <w:sz w:val="20"/>
          <w:szCs w:val="20"/>
        </w:rPr>
        <w:t xml:space="preserve">ación sobre el inciso w) del </w:t>
      </w:r>
      <w:smartTag w:uri="urn:schemas-microsoft-com:office:smarttags" w:element="PersonName">
        <w:r w:rsidRPr="00251182">
          <w:rPr>
            <w:rFonts w:ascii="Arial" w:eastAsia="Calibri" w:hAnsi="Arial" w:cs="Arial"/>
            <w:color w:val="292526"/>
            <w:sz w:val="20"/>
            <w:szCs w:val="20"/>
          </w:rPr>
          <w:t>ar</w:t>
        </w:r>
      </w:smartTag>
      <w:r w:rsidRPr="00251182">
        <w:rPr>
          <w:rFonts w:ascii="Arial" w:eastAsia="Calibri" w:hAnsi="Arial" w:cs="Arial"/>
          <w:color w:val="292526"/>
          <w:sz w:val="20"/>
          <w:szCs w:val="20"/>
        </w:rPr>
        <w:t xml:space="preserve">tículo 185 del Código Fiscal que exime al </w:t>
      </w:r>
      <w:r w:rsidRPr="00251182">
        <w:rPr>
          <w:rFonts w:ascii="Arial" w:eastAsia="Calibri" w:hAnsi="Arial" w:cs="Arial"/>
          <w:b/>
          <w:color w:val="292526"/>
          <w:sz w:val="20"/>
          <w:szCs w:val="20"/>
        </w:rPr>
        <w:t>transporte internacional</w:t>
      </w:r>
      <w:r w:rsidRPr="00251182">
        <w:rPr>
          <w:rFonts w:ascii="Arial" w:eastAsia="Calibri" w:hAnsi="Arial" w:cs="Arial"/>
          <w:color w:val="292526"/>
          <w:sz w:val="20"/>
          <w:szCs w:val="20"/>
        </w:rPr>
        <w:t xml:space="preserve"> </w:t>
      </w:r>
      <w:r w:rsidRPr="00251182">
        <w:rPr>
          <w:rFonts w:ascii="Arial" w:eastAsia="Calibri" w:hAnsi="Arial" w:cs="Arial"/>
          <w:b/>
          <w:color w:val="292526"/>
          <w:sz w:val="20"/>
          <w:szCs w:val="20"/>
        </w:rPr>
        <w:t>efectuado por empresas constituidas en el país</w:t>
      </w:r>
      <w:r w:rsidRPr="00251182">
        <w:rPr>
          <w:rFonts w:ascii="Arial" w:eastAsia="Calibri" w:hAnsi="Arial" w:cs="Arial"/>
          <w:color w:val="292526"/>
          <w:sz w:val="20"/>
          <w:szCs w:val="20"/>
        </w:rPr>
        <w:t xml:space="preserve">. </w:t>
      </w:r>
    </w:p>
    <w:p w:rsidR="00251182" w:rsidRPr="00251182" w:rsidRDefault="00251182" w:rsidP="00251182">
      <w:pPr>
        <w:adjustRightInd w:val="0"/>
        <w:rPr>
          <w:rFonts w:ascii="Arial" w:eastAsia="Calibri" w:hAnsi="Arial" w:cs="Arial"/>
          <w:color w:val="292526"/>
          <w:sz w:val="20"/>
          <w:szCs w:val="20"/>
        </w:rPr>
      </w:pPr>
      <w:r w:rsidRPr="00251182">
        <w:rPr>
          <w:rFonts w:ascii="Arial" w:eastAsia="Calibri" w:hAnsi="Arial" w:cs="Arial"/>
          <w:color w:val="292526"/>
          <w:sz w:val="20"/>
          <w:szCs w:val="20"/>
        </w:rPr>
        <w:t xml:space="preserve">No obstante, en la planilla también incluye el transporte internacional de cargas, a la alícuota del 3,75 % si cumple las condiciones de la nota 15 o </w:t>
      </w:r>
      <w:proofErr w:type="gramStart"/>
      <w:r w:rsidRPr="00251182">
        <w:rPr>
          <w:rFonts w:ascii="Arial" w:eastAsia="Calibri" w:hAnsi="Arial" w:cs="Arial"/>
          <w:color w:val="292526"/>
          <w:sz w:val="20"/>
          <w:szCs w:val="20"/>
        </w:rPr>
        <w:t>al  4</w:t>
      </w:r>
      <w:proofErr w:type="gramEnd"/>
      <w:r w:rsidRPr="00251182">
        <w:rPr>
          <w:rFonts w:ascii="Arial" w:eastAsia="Calibri" w:hAnsi="Arial" w:cs="Arial"/>
          <w:color w:val="292526"/>
          <w:sz w:val="20"/>
          <w:szCs w:val="20"/>
        </w:rPr>
        <w:t xml:space="preserve"> %.- La nota 15 la transcribimos en la siguiente observación relacionada con el transporte de vino a granel, </w:t>
      </w:r>
      <w:r w:rsidRPr="00251182">
        <w:rPr>
          <w:rFonts w:ascii="Arial" w:eastAsia="Calibri" w:hAnsi="Arial" w:cs="Arial"/>
          <w:b/>
          <w:color w:val="292526"/>
          <w:sz w:val="20"/>
          <w:szCs w:val="20"/>
        </w:rPr>
        <w:t>pero entendemos que no se aplica a las empresas comprendidas en el inciso w) antes citado</w:t>
      </w:r>
      <w:r w:rsidRPr="00251182">
        <w:rPr>
          <w:rFonts w:ascii="Arial" w:eastAsia="Calibri" w:hAnsi="Arial" w:cs="Arial"/>
          <w:color w:val="292526"/>
          <w:sz w:val="20"/>
          <w:szCs w:val="20"/>
        </w:rPr>
        <w:t>.</w:t>
      </w:r>
    </w:p>
    <w:p w:rsidR="00251182" w:rsidRPr="00251182" w:rsidRDefault="00251182" w:rsidP="00251182">
      <w:pPr>
        <w:adjustRightInd w:val="0"/>
        <w:rPr>
          <w:rFonts w:ascii="Arial" w:eastAsia="Calibri" w:hAnsi="Arial" w:cs="Arial"/>
          <w:color w:val="292526"/>
          <w:sz w:val="20"/>
          <w:szCs w:val="20"/>
        </w:rPr>
      </w:pPr>
    </w:p>
    <w:p w:rsidR="00251182" w:rsidRPr="00251182" w:rsidRDefault="00251182" w:rsidP="00251182">
      <w:pPr>
        <w:adjustRightInd w:val="0"/>
        <w:rPr>
          <w:rFonts w:ascii="Arial" w:eastAsia="Calibri" w:hAnsi="Arial" w:cs="Arial"/>
          <w:color w:val="292526"/>
          <w:sz w:val="20"/>
          <w:szCs w:val="20"/>
        </w:rPr>
      </w:pPr>
      <w:r w:rsidRPr="00251182">
        <w:rPr>
          <w:rFonts w:ascii="Arial" w:eastAsia="Calibri" w:hAnsi="Arial" w:cs="Arial"/>
          <w:color w:val="292526"/>
          <w:sz w:val="20"/>
          <w:szCs w:val="20"/>
        </w:rPr>
        <w:t>(****) Nota 15 de Planilla Analítica anexa al artículo 3º:  “</w:t>
      </w:r>
      <w:r w:rsidRPr="00251182">
        <w:rPr>
          <w:rFonts w:ascii="Arial" w:eastAsia="Calibri" w:hAnsi="Arial" w:cs="Arial"/>
          <w:i/>
          <w:color w:val="292526"/>
          <w:sz w:val="20"/>
          <w:szCs w:val="20"/>
        </w:rPr>
        <w:t>(15) Se aplicará la alícuota general del rubro prevista en la Planilla Analítica del Impuesto sobre los Ingresos Brutos Anexa al artículo 3 para los contribuyentes que no cumplan lo previsto en el </w:t>
      </w:r>
      <w:hyperlink r:id="rId7" w:anchor="ART_185_INC_X" w:tgtFrame="_blank" w:history="1">
        <w:r w:rsidRPr="00251182">
          <w:rPr>
            <w:rFonts w:ascii="Arial" w:eastAsia="Calibri" w:hAnsi="Arial" w:cs="Arial"/>
            <w:i/>
            <w:color w:val="292526"/>
            <w:sz w:val="20"/>
            <w:szCs w:val="20"/>
          </w:rPr>
          <w:t>artículo 185 inciso x) del Código Fiscal</w:t>
        </w:r>
      </w:hyperlink>
      <w:r w:rsidRPr="00251182">
        <w:rPr>
          <w:rFonts w:ascii="Arial" w:eastAsia="Calibri" w:hAnsi="Arial" w:cs="Arial"/>
          <w:i/>
          <w:color w:val="292526"/>
          <w:sz w:val="20"/>
          <w:szCs w:val="20"/>
        </w:rPr>
        <w:t xml:space="preserve">.” </w:t>
      </w:r>
      <w:r w:rsidRPr="00251182">
        <w:rPr>
          <w:rFonts w:ascii="Arial" w:eastAsia="Calibri" w:hAnsi="Arial" w:cs="Arial"/>
          <w:color w:val="292526"/>
          <w:sz w:val="20"/>
          <w:szCs w:val="20"/>
        </w:rPr>
        <w:t xml:space="preserve"> </w:t>
      </w:r>
    </w:p>
    <w:p w:rsidR="00251182" w:rsidRPr="00251182" w:rsidRDefault="00251182" w:rsidP="00251182">
      <w:pPr>
        <w:adjustRightInd w:val="0"/>
        <w:rPr>
          <w:rFonts w:ascii="Arial" w:eastAsia="Calibri" w:hAnsi="Arial" w:cs="Arial"/>
          <w:color w:val="292526"/>
          <w:sz w:val="20"/>
          <w:szCs w:val="20"/>
        </w:rPr>
      </w:pPr>
    </w:p>
    <w:p w:rsidR="00251182" w:rsidRPr="00251182" w:rsidRDefault="00251182" w:rsidP="00251182">
      <w:pPr>
        <w:adjustRightInd w:val="0"/>
        <w:rPr>
          <w:rFonts w:ascii="Arial" w:eastAsia="Calibri" w:hAnsi="Arial" w:cs="Arial"/>
          <w:color w:val="292526"/>
          <w:sz w:val="20"/>
          <w:szCs w:val="20"/>
        </w:rPr>
      </w:pPr>
      <w:r w:rsidRPr="00251182">
        <w:rPr>
          <w:rFonts w:ascii="Arial" w:eastAsia="Calibri" w:hAnsi="Arial" w:cs="Arial"/>
          <w:color w:val="292526"/>
          <w:sz w:val="20"/>
          <w:szCs w:val="20"/>
        </w:rPr>
        <w:t>El inciso x) del artículo 185 del Código Fiscal expresa lo siguiente:</w:t>
      </w:r>
    </w:p>
    <w:p w:rsidR="00251182" w:rsidRPr="00251182" w:rsidRDefault="00251182" w:rsidP="00251182">
      <w:pPr>
        <w:adjustRightInd w:val="0"/>
        <w:rPr>
          <w:rFonts w:ascii="Arial" w:eastAsia="Calibri" w:hAnsi="Arial" w:cs="Arial"/>
          <w:color w:val="292526"/>
          <w:sz w:val="20"/>
          <w:szCs w:val="20"/>
          <w:lang w:val="es-AR"/>
        </w:rPr>
      </w:pPr>
      <w:r w:rsidRPr="00251182">
        <w:rPr>
          <w:rFonts w:ascii="Arial" w:eastAsia="Calibri" w:hAnsi="Arial" w:cs="Arial"/>
          <w:i/>
          <w:iCs/>
          <w:color w:val="292526"/>
          <w:sz w:val="20"/>
          <w:szCs w:val="20"/>
          <w:lang w:val="es-AR"/>
        </w:rPr>
        <w:t>“…x) Los ingresos que devengue el desarrollo de las actividades que indiquen en la ley impositiva. En todos los casos será obligatorio tramitar mensualmente el certificado por la página web de la Administración Tributaria Mendoza para gozar del beneficio. Cada certificado tendrá vigencia durante el mes de que se trate y a partir del día en que sea emitido. Al momento de cada solicitud mensual, los contribuyentes deberán cumplir con las siguientes condiciones como requisito para su obtención:</w:t>
      </w:r>
    </w:p>
    <w:p w:rsidR="00251182" w:rsidRPr="00251182" w:rsidRDefault="00251182" w:rsidP="00251182">
      <w:pPr>
        <w:adjustRightInd w:val="0"/>
        <w:rPr>
          <w:rFonts w:ascii="Arial" w:eastAsia="Calibri" w:hAnsi="Arial" w:cs="Arial"/>
          <w:color w:val="292526"/>
          <w:sz w:val="20"/>
          <w:szCs w:val="20"/>
          <w:lang w:val="es-AR"/>
        </w:rPr>
      </w:pPr>
      <w:r w:rsidRPr="00251182">
        <w:rPr>
          <w:rFonts w:ascii="Arial" w:eastAsia="Calibri" w:hAnsi="Arial" w:cs="Arial"/>
          <w:i/>
          <w:iCs/>
          <w:color w:val="292526"/>
          <w:sz w:val="20"/>
          <w:szCs w:val="20"/>
          <w:lang w:val="es-AR"/>
        </w:rPr>
        <w:t>a) No registrar deuda vencida respecto de todos los recursos, impuestos, tasas o sanciones que recauda la Administración Tributaria Mendoza, incluso los de naturaleza no tributaria.</w:t>
      </w:r>
    </w:p>
    <w:p w:rsidR="00251182" w:rsidRPr="00251182" w:rsidRDefault="00251182" w:rsidP="00251182">
      <w:pPr>
        <w:adjustRightInd w:val="0"/>
        <w:rPr>
          <w:rFonts w:ascii="Arial" w:eastAsia="Calibri" w:hAnsi="Arial" w:cs="Arial"/>
          <w:color w:val="292526"/>
          <w:sz w:val="20"/>
          <w:szCs w:val="20"/>
          <w:lang w:val="es-AR"/>
        </w:rPr>
      </w:pPr>
      <w:r w:rsidRPr="00251182">
        <w:rPr>
          <w:rFonts w:ascii="Arial" w:eastAsia="Calibri" w:hAnsi="Arial" w:cs="Arial"/>
          <w:i/>
          <w:iCs/>
          <w:color w:val="292526"/>
          <w:sz w:val="20"/>
          <w:szCs w:val="20"/>
          <w:lang w:val="es-AR"/>
        </w:rPr>
        <w:t>b) Tener radicados en la Provincia todos los vehículos afectados al desarrollo de la actividad que se trate. En el caso de contribuyentes que inicien actividades durante el ejercicio fiscal corriente deberán completar la radicación de vehículos en un plazo de seis (6) meses.</w:t>
      </w:r>
    </w:p>
    <w:p w:rsidR="00251182" w:rsidRPr="00251182" w:rsidRDefault="00251182" w:rsidP="00251182">
      <w:pPr>
        <w:adjustRightInd w:val="0"/>
        <w:rPr>
          <w:rFonts w:ascii="Arial" w:eastAsia="Calibri" w:hAnsi="Arial" w:cs="Arial"/>
          <w:color w:val="292526"/>
          <w:sz w:val="20"/>
          <w:szCs w:val="20"/>
          <w:lang w:val="es-AR"/>
        </w:rPr>
      </w:pPr>
      <w:r w:rsidRPr="00251182">
        <w:rPr>
          <w:rFonts w:ascii="Arial" w:eastAsia="Calibri" w:hAnsi="Arial" w:cs="Arial"/>
          <w:i/>
          <w:iCs/>
          <w:color w:val="292526"/>
          <w:sz w:val="20"/>
          <w:szCs w:val="20"/>
          <w:lang w:val="es-AR"/>
        </w:rPr>
        <w:t>c) Tener presentadas en tiempo y forma las declaraciones juradas anuales y/o mensuales correspondientes al impuesto sobre los ingresos brutos que se encuentren vencidas al momento de la solicitud.</w:t>
      </w:r>
    </w:p>
    <w:p w:rsidR="00251182" w:rsidRPr="00251182" w:rsidRDefault="00251182" w:rsidP="00251182">
      <w:pPr>
        <w:adjustRightInd w:val="0"/>
        <w:rPr>
          <w:rFonts w:ascii="Arial" w:eastAsia="Calibri" w:hAnsi="Arial" w:cs="Arial"/>
          <w:color w:val="292526"/>
          <w:sz w:val="20"/>
          <w:szCs w:val="20"/>
          <w:lang w:val="es-AR"/>
        </w:rPr>
      </w:pPr>
      <w:r w:rsidRPr="00251182">
        <w:rPr>
          <w:rFonts w:ascii="Arial" w:eastAsia="Calibri" w:hAnsi="Arial" w:cs="Arial"/>
          <w:i/>
          <w:iCs/>
          <w:color w:val="292526"/>
          <w:sz w:val="20"/>
          <w:szCs w:val="20"/>
          <w:lang w:val="es-AR"/>
        </w:rPr>
        <w:t>La validez de los certificados emitidos estará sujeta a encontrarse efectivamente reunidas todas las condiciones legales en el momento de su emisión, lo que el Organismo Recaudador podrá verificar en cualquier momento. Si se detectare el incumplimiento de alguna de aquellas, ello importará el decaimiento del beneficio a partir de la fecha de tal incumplimiento, y el contribuyente no podrá acceder nuevamente al mismo hasta el mes en que satisfaga completamente los requisitos.</w:t>
      </w:r>
    </w:p>
    <w:p w:rsidR="00251182" w:rsidRPr="00251182" w:rsidRDefault="00251182" w:rsidP="00251182">
      <w:pPr>
        <w:adjustRightInd w:val="0"/>
        <w:rPr>
          <w:rFonts w:ascii="Arial" w:eastAsia="Calibri" w:hAnsi="Arial" w:cs="Arial"/>
          <w:color w:val="292526"/>
          <w:sz w:val="20"/>
          <w:szCs w:val="20"/>
          <w:lang w:val="es-AR"/>
        </w:rPr>
      </w:pPr>
      <w:r w:rsidRPr="00251182">
        <w:rPr>
          <w:rFonts w:ascii="Arial" w:eastAsia="Calibri" w:hAnsi="Arial" w:cs="Arial"/>
          <w:i/>
          <w:iCs/>
          <w:color w:val="292526"/>
          <w:sz w:val="20"/>
          <w:szCs w:val="20"/>
          <w:lang w:val="es-AR"/>
        </w:rPr>
        <w:t xml:space="preserve">Sin perjuicio de lo dispuesto en el inciso a) precedente, podrá igualmente obtener el beneficio </w:t>
      </w:r>
      <w:r w:rsidRPr="00251182">
        <w:rPr>
          <w:rFonts w:ascii="Arial" w:eastAsia="Calibri" w:hAnsi="Arial" w:cs="Arial"/>
          <w:i/>
          <w:iCs/>
          <w:color w:val="292526"/>
          <w:sz w:val="20"/>
          <w:szCs w:val="20"/>
          <w:lang w:val="es-AR"/>
        </w:rPr>
        <w:lastRenderedPageBreak/>
        <w:t>aquel contribuyente que al momento de solicitarlo registre deuda vencida correspondiente al ejercicio fiscal en curso, siempre que la misma no supere el monto que fije anualmente la ley impositiva y esté cancelada al momento de solicitar el siguiente certificado.</w:t>
      </w:r>
    </w:p>
    <w:p w:rsidR="00251182" w:rsidRPr="00251182" w:rsidRDefault="00251182" w:rsidP="00251182">
      <w:pPr>
        <w:adjustRightInd w:val="0"/>
        <w:rPr>
          <w:rFonts w:ascii="Arial" w:eastAsia="Calibri" w:hAnsi="Arial" w:cs="Arial"/>
          <w:color w:val="292526"/>
          <w:sz w:val="20"/>
          <w:szCs w:val="20"/>
          <w:lang w:val="es-AR"/>
        </w:rPr>
      </w:pPr>
      <w:r w:rsidRPr="00251182">
        <w:rPr>
          <w:rFonts w:ascii="Arial" w:eastAsia="Calibri" w:hAnsi="Arial" w:cs="Arial"/>
          <w:i/>
          <w:iCs/>
          <w:color w:val="292526"/>
          <w:sz w:val="20"/>
          <w:szCs w:val="20"/>
          <w:lang w:val="es-AR"/>
        </w:rPr>
        <w:t>Si surgiera una deuda devengada en ejercicios anteriores a un contribuyente que en tales ejercicios hubiera obtenido las constancias correspondientes, no perderá los beneficios otorgados oportunamente siempre que la deuda resultante sea inferior al diez por ciento (10%) del total de impuestos que por todo concepto debió </w:t>
      </w:r>
      <w:proofErr w:type="spellStart"/>
      <w:r w:rsidRPr="00251182">
        <w:rPr>
          <w:rFonts w:ascii="Arial" w:eastAsia="Calibri" w:hAnsi="Arial" w:cs="Arial"/>
          <w:i/>
          <w:iCs/>
          <w:color w:val="292526"/>
          <w:sz w:val="20"/>
          <w:szCs w:val="20"/>
          <w:lang w:val="es-AR"/>
        </w:rPr>
        <w:t>oblar</w:t>
      </w:r>
      <w:proofErr w:type="spellEnd"/>
      <w:r w:rsidRPr="00251182">
        <w:rPr>
          <w:rFonts w:ascii="Arial" w:eastAsia="Calibri" w:hAnsi="Arial" w:cs="Arial"/>
          <w:i/>
          <w:iCs/>
          <w:color w:val="292526"/>
          <w:sz w:val="20"/>
          <w:szCs w:val="20"/>
          <w:lang w:val="es-AR"/>
        </w:rPr>
        <w:t> en el año de que se trate, y realice la cancelación total dentro del plazo de treinta (30) días desde que la misma se encuentre firme.</w:t>
      </w:r>
    </w:p>
    <w:p w:rsidR="00251182" w:rsidRPr="00251182" w:rsidRDefault="00251182" w:rsidP="00251182">
      <w:pPr>
        <w:adjustRightInd w:val="0"/>
        <w:rPr>
          <w:rFonts w:ascii="Arial" w:eastAsia="Calibri" w:hAnsi="Arial" w:cs="Arial"/>
          <w:color w:val="292526"/>
          <w:sz w:val="20"/>
          <w:szCs w:val="20"/>
          <w:lang w:val="es-AR"/>
        </w:rPr>
      </w:pPr>
      <w:r w:rsidRPr="00251182">
        <w:rPr>
          <w:rFonts w:ascii="Arial" w:eastAsia="Calibri" w:hAnsi="Arial" w:cs="Arial"/>
          <w:i/>
          <w:iCs/>
          <w:color w:val="292526"/>
          <w:sz w:val="20"/>
          <w:szCs w:val="20"/>
          <w:lang w:val="es-AR"/>
        </w:rPr>
        <w:t>Decaído el beneficio correspondiente a un ejercicio fiscal anterior, ello importará la pérdida del mismo beneficio correspondiente a los ejercicios siguientes. Sin perjuicio de ello, podrá conservar el beneficio correspondiente al año en curso el contribuyente que, dentro de los treinta (30) días de quedar firme la deuda, cancele totalmente la misma…”</w:t>
      </w:r>
    </w:p>
    <w:p w:rsidR="00251182" w:rsidRPr="00251182" w:rsidRDefault="00251182" w:rsidP="00251182">
      <w:pPr>
        <w:adjustRightInd w:val="0"/>
        <w:rPr>
          <w:rFonts w:ascii="Arial" w:eastAsia="Calibri" w:hAnsi="Arial" w:cs="Arial"/>
          <w:color w:val="292526"/>
          <w:sz w:val="20"/>
          <w:szCs w:val="20"/>
          <w:lang w:val="es-AR"/>
        </w:rPr>
      </w:pPr>
    </w:p>
    <w:p w:rsidR="00251182" w:rsidRPr="00251182" w:rsidRDefault="00251182" w:rsidP="00251182">
      <w:pPr>
        <w:adjustRightInd w:val="0"/>
        <w:rPr>
          <w:rFonts w:ascii="Arial" w:eastAsia="Calibri" w:hAnsi="Arial" w:cs="Arial"/>
          <w:color w:val="292526"/>
          <w:sz w:val="20"/>
          <w:szCs w:val="20"/>
        </w:rPr>
      </w:pPr>
      <w:r w:rsidRPr="00251182">
        <w:rPr>
          <w:rFonts w:ascii="Arial" w:eastAsia="Calibri" w:hAnsi="Arial" w:cs="Arial"/>
          <w:color w:val="292526"/>
          <w:sz w:val="20"/>
          <w:szCs w:val="20"/>
        </w:rPr>
        <w:t xml:space="preserve"> </w:t>
      </w:r>
    </w:p>
    <w:p w:rsidR="00251182" w:rsidRPr="00251182" w:rsidRDefault="00251182" w:rsidP="00251182">
      <w:pPr>
        <w:adjustRightInd w:val="0"/>
        <w:rPr>
          <w:rFonts w:ascii="Arial" w:eastAsia="Calibri" w:hAnsi="Arial" w:cs="Arial"/>
          <w:color w:val="292526"/>
          <w:sz w:val="20"/>
          <w:szCs w:val="20"/>
        </w:rPr>
      </w:pPr>
    </w:p>
    <w:p w:rsidR="00251182" w:rsidRPr="00251182" w:rsidRDefault="00251182" w:rsidP="00251182">
      <w:pPr>
        <w:adjustRightInd w:val="0"/>
        <w:rPr>
          <w:rFonts w:ascii="Arial" w:eastAsia="Calibri" w:hAnsi="Arial" w:cs="Arial"/>
          <w:color w:val="292526"/>
          <w:sz w:val="20"/>
          <w:szCs w:val="20"/>
        </w:rPr>
      </w:pPr>
    </w:p>
    <w:p w:rsidR="00A64D45" w:rsidRPr="00251182" w:rsidRDefault="00A64D45" w:rsidP="00251182">
      <w:pPr>
        <w:jc w:val="center"/>
        <w:rPr>
          <w:rFonts w:ascii="Arial" w:hAnsi="Arial" w:cs="Arial"/>
          <w:sz w:val="20"/>
          <w:szCs w:val="20"/>
        </w:rPr>
      </w:pPr>
    </w:p>
    <w:sectPr w:rsidR="00A64D45" w:rsidRPr="00251182" w:rsidSect="00340968">
      <w:headerReference w:type="default" r:id="rId8"/>
      <w:pgSz w:w="11907" w:h="16840" w:code="9"/>
      <w:pgMar w:top="3119" w:right="1417" w:bottom="1463" w:left="2268" w:header="709" w:footer="709" w:gutter="0"/>
      <w:paperSrc w:first="1" w:other="1"/>
      <w:cols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168" w:rsidRDefault="007C7168" w:rsidP="007C7168">
      <w:r>
        <w:separator/>
      </w:r>
    </w:p>
  </w:endnote>
  <w:endnote w:type="continuationSeparator" w:id="0">
    <w:p w:rsidR="007C7168" w:rsidRDefault="007C7168" w:rsidP="007C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168" w:rsidRDefault="007C7168" w:rsidP="007C7168">
      <w:r>
        <w:separator/>
      </w:r>
    </w:p>
  </w:footnote>
  <w:footnote w:type="continuationSeparator" w:id="0">
    <w:p w:rsidR="007C7168" w:rsidRDefault="007C7168" w:rsidP="007C7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168" w:rsidRPr="007C7168" w:rsidRDefault="007C7168" w:rsidP="007C7168">
    <w:pPr>
      <w:pStyle w:val="Encabezado"/>
    </w:pPr>
    <w:r w:rsidRPr="007C7168">
      <w:rPr>
        <w:noProof/>
        <w:lang w:val="es-AR"/>
      </w:rPr>
      <w:drawing>
        <wp:inline distT="0" distB="0" distL="0" distR="0">
          <wp:extent cx="2026920" cy="10134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1013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7C3"/>
    <w:multiLevelType w:val="hybridMultilevel"/>
    <w:tmpl w:val="A88ED6D0"/>
    <w:lvl w:ilvl="0" w:tplc="1F3A42E6">
      <w:numFmt w:val="bullet"/>
      <w:lvlText w:val="-"/>
      <w:lvlJc w:val="left"/>
      <w:pPr>
        <w:ind w:left="720" w:hanging="360"/>
      </w:pPr>
      <w:rPr>
        <w:rFonts w:ascii="Century Gothic" w:eastAsia="Times New Roman" w:hAnsi="Century Gothic"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BF13E6A"/>
    <w:multiLevelType w:val="hybridMultilevel"/>
    <w:tmpl w:val="0224702A"/>
    <w:lvl w:ilvl="0" w:tplc="E9DA0F80">
      <w:start w:val="1"/>
      <w:numFmt w:val="lowerLetter"/>
      <w:lvlText w:val="%1)"/>
      <w:lvlJc w:val="left"/>
      <w:pPr>
        <w:ind w:left="1080" w:hanging="360"/>
      </w:pPr>
      <w:rPr>
        <w:rFonts w:cs="Times New Roman" w:hint="default"/>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abstractNum w:abstractNumId="2" w15:restartNumberingAfterBreak="0">
    <w:nsid w:val="0EBD0D20"/>
    <w:multiLevelType w:val="hybridMultilevel"/>
    <w:tmpl w:val="851274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D026F4B"/>
    <w:multiLevelType w:val="hybridMultilevel"/>
    <w:tmpl w:val="4F3064A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D8762F8"/>
    <w:multiLevelType w:val="hybridMultilevel"/>
    <w:tmpl w:val="0DD4E294"/>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67044B"/>
    <w:multiLevelType w:val="hybridMultilevel"/>
    <w:tmpl w:val="A02E6EE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B6E0FC5"/>
    <w:multiLevelType w:val="hybridMultilevel"/>
    <w:tmpl w:val="7A8A9026"/>
    <w:lvl w:ilvl="0" w:tplc="0C0A0017">
      <w:start w:val="1"/>
      <w:numFmt w:val="lowerLetter"/>
      <w:lvlText w:val="%1)"/>
      <w:lvlJc w:val="left"/>
      <w:pPr>
        <w:tabs>
          <w:tab w:val="num" w:pos="1776"/>
        </w:tabs>
        <w:ind w:left="1776" w:hanging="360"/>
      </w:pPr>
      <w:rPr>
        <w:sz w:val="22"/>
        <w:szCs w:val="2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5DBA0288"/>
    <w:multiLevelType w:val="hybridMultilevel"/>
    <w:tmpl w:val="B86A2A4E"/>
    <w:lvl w:ilvl="0" w:tplc="2C0A0001">
      <w:start w:val="1"/>
      <w:numFmt w:val="bullet"/>
      <w:lvlText w:val=""/>
      <w:lvlJc w:val="left"/>
      <w:pPr>
        <w:tabs>
          <w:tab w:val="num" w:pos="720"/>
        </w:tabs>
        <w:ind w:left="720" w:hanging="360"/>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3D5A3C"/>
    <w:multiLevelType w:val="hybridMultilevel"/>
    <w:tmpl w:val="30BC013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7DF61395"/>
    <w:multiLevelType w:val="hybridMultilevel"/>
    <w:tmpl w:val="12ACA1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56"/>
    <w:rsid w:val="00001756"/>
    <w:rsid w:val="00015FBB"/>
    <w:rsid w:val="00017116"/>
    <w:rsid w:val="00084810"/>
    <w:rsid w:val="000A037A"/>
    <w:rsid w:val="00103D11"/>
    <w:rsid w:val="001051DB"/>
    <w:rsid w:val="001110B3"/>
    <w:rsid w:val="001615CE"/>
    <w:rsid w:val="00194AEE"/>
    <w:rsid w:val="001F255C"/>
    <w:rsid w:val="00251182"/>
    <w:rsid w:val="002C119C"/>
    <w:rsid w:val="002C3828"/>
    <w:rsid w:val="002E0225"/>
    <w:rsid w:val="00310F7E"/>
    <w:rsid w:val="00340968"/>
    <w:rsid w:val="003929A9"/>
    <w:rsid w:val="003A07E6"/>
    <w:rsid w:val="003A115E"/>
    <w:rsid w:val="003B62E5"/>
    <w:rsid w:val="003D2043"/>
    <w:rsid w:val="003E5105"/>
    <w:rsid w:val="003F289B"/>
    <w:rsid w:val="00425FF7"/>
    <w:rsid w:val="00430745"/>
    <w:rsid w:val="004811C1"/>
    <w:rsid w:val="00482E4B"/>
    <w:rsid w:val="0048594D"/>
    <w:rsid w:val="0049392D"/>
    <w:rsid w:val="004A6B4B"/>
    <w:rsid w:val="004F3230"/>
    <w:rsid w:val="00543CF6"/>
    <w:rsid w:val="00580660"/>
    <w:rsid w:val="00591F7A"/>
    <w:rsid w:val="005E111D"/>
    <w:rsid w:val="00606B7E"/>
    <w:rsid w:val="006307C1"/>
    <w:rsid w:val="00657964"/>
    <w:rsid w:val="00682765"/>
    <w:rsid w:val="00690C2D"/>
    <w:rsid w:val="00694E82"/>
    <w:rsid w:val="006955E3"/>
    <w:rsid w:val="0069737F"/>
    <w:rsid w:val="006B019E"/>
    <w:rsid w:val="006D7B9C"/>
    <w:rsid w:val="007161A5"/>
    <w:rsid w:val="007736E2"/>
    <w:rsid w:val="007C7168"/>
    <w:rsid w:val="007E7821"/>
    <w:rsid w:val="007F6012"/>
    <w:rsid w:val="00822470"/>
    <w:rsid w:val="0083335D"/>
    <w:rsid w:val="00834D33"/>
    <w:rsid w:val="00897A05"/>
    <w:rsid w:val="008A51DC"/>
    <w:rsid w:val="008E4875"/>
    <w:rsid w:val="008F0A1B"/>
    <w:rsid w:val="00901959"/>
    <w:rsid w:val="00901AFF"/>
    <w:rsid w:val="00936424"/>
    <w:rsid w:val="00966E72"/>
    <w:rsid w:val="00987644"/>
    <w:rsid w:val="00991E2F"/>
    <w:rsid w:val="009E458A"/>
    <w:rsid w:val="009E5FFB"/>
    <w:rsid w:val="009F1341"/>
    <w:rsid w:val="00A011A0"/>
    <w:rsid w:val="00A55517"/>
    <w:rsid w:val="00A64D45"/>
    <w:rsid w:val="00A676C5"/>
    <w:rsid w:val="00A75DBC"/>
    <w:rsid w:val="00A9675F"/>
    <w:rsid w:val="00AD7AD6"/>
    <w:rsid w:val="00B50329"/>
    <w:rsid w:val="00B9296B"/>
    <w:rsid w:val="00B973C9"/>
    <w:rsid w:val="00C01294"/>
    <w:rsid w:val="00C6083B"/>
    <w:rsid w:val="00C64AA0"/>
    <w:rsid w:val="00C86033"/>
    <w:rsid w:val="00D03D33"/>
    <w:rsid w:val="00D31822"/>
    <w:rsid w:val="00D650F0"/>
    <w:rsid w:val="00D73962"/>
    <w:rsid w:val="00D94573"/>
    <w:rsid w:val="00D94B6C"/>
    <w:rsid w:val="00DA246E"/>
    <w:rsid w:val="00DB1CF7"/>
    <w:rsid w:val="00DB540A"/>
    <w:rsid w:val="00DF2A4F"/>
    <w:rsid w:val="00E2396E"/>
    <w:rsid w:val="00E60287"/>
    <w:rsid w:val="00EF7BFD"/>
    <w:rsid w:val="00F01D15"/>
    <w:rsid w:val="00F52CAA"/>
    <w:rsid w:val="00F75F74"/>
    <w:rsid w:val="00F84809"/>
    <w:rsid w:val="00FE23F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24343CFD"/>
  <w14:defaultImageDpi w14:val="0"/>
  <w15:docId w15:val="{63128BD5-2479-4D88-8BDA-B506043D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spacing w:after="0" w:line="240" w:lineRule="auto"/>
      <w:jc w:val="both"/>
    </w:pPr>
    <w:rPr>
      <w:rFonts w:ascii="Century Gothic" w:hAnsi="Century Gothic" w:cs="Century Gothic"/>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larTema">
    <w:name w:val="CircularTema"/>
    <w:basedOn w:val="Normal"/>
    <w:uiPriority w:val="99"/>
    <w:pPr>
      <w:jc w:val="center"/>
    </w:pPr>
    <w:rPr>
      <w:u w:val="single"/>
    </w:rPr>
  </w:style>
  <w:style w:type="paragraph" w:customStyle="1" w:styleId="CircularTexto">
    <w:name w:val="CircularTexto"/>
    <w:basedOn w:val="Normal"/>
    <w:uiPriority w:val="99"/>
  </w:style>
  <w:style w:type="paragraph" w:customStyle="1" w:styleId="CircularTitulo">
    <w:name w:val="CircularTitulo"/>
    <w:basedOn w:val="Normal"/>
    <w:uiPriority w:val="99"/>
    <w:pPr>
      <w:jc w:val="center"/>
    </w:pPr>
    <w:rPr>
      <w:b/>
      <w:bCs/>
      <w:spacing w:val="100"/>
      <w:sz w:val="24"/>
      <w:szCs w:val="24"/>
      <w:u w:val="single"/>
    </w:rPr>
  </w:style>
  <w:style w:type="character" w:styleId="Hipervnculo">
    <w:name w:val="Hyperlink"/>
    <w:basedOn w:val="Fuentedeprrafopredeter"/>
    <w:uiPriority w:val="99"/>
    <w:rPr>
      <w:color w:val="0000FF"/>
      <w:u w:val="single"/>
    </w:rPr>
  </w:style>
  <w:style w:type="paragraph" w:styleId="NormalWeb">
    <w:name w:val="Normal (Web)"/>
    <w:basedOn w:val="Normal"/>
    <w:uiPriority w:val="99"/>
    <w:rsid w:val="00F01D15"/>
    <w:rPr>
      <w:sz w:val="24"/>
      <w:szCs w:val="24"/>
    </w:rPr>
  </w:style>
  <w:style w:type="paragraph" w:styleId="Encabezado">
    <w:name w:val="header"/>
    <w:basedOn w:val="Normal"/>
    <w:link w:val="EncabezadoCar"/>
    <w:uiPriority w:val="99"/>
    <w:unhideWhenUsed/>
    <w:rsid w:val="007C7168"/>
    <w:pPr>
      <w:tabs>
        <w:tab w:val="center" w:pos="4252"/>
        <w:tab w:val="right" w:pos="8504"/>
      </w:tabs>
    </w:pPr>
  </w:style>
  <w:style w:type="character" w:customStyle="1" w:styleId="EncabezadoCar">
    <w:name w:val="Encabezado Car"/>
    <w:basedOn w:val="Fuentedeprrafopredeter"/>
    <w:link w:val="Encabezado"/>
    <w:uiPriority w:val="99"/>
    <w:rsid w:val="007C7168"/>
    <w:rPr>
      <w:rFonts w:ascii="Century Gothic" w:hAnsi="Century Gothic" w:cs="Century Gothic"/>
      <w:lang w:val="es-ES_tradnl"/>
    </w:rPr>
  </w:style>
  <w:style w:type="paragraph" w:styleId="Piedepgina">
    <w:name w:val="footer"/>
    <w:basedOn w:val="Normal"/>
    <w:link w:val="PiedepginaCar"/>
    <w:uiPriority w:val="99"/>
    <w:unhideWhenUsed/>
    <w:rsid w:val="007C7168"/>
    <w:pPr>
      <w:tabs>
        <w:tab w:val="center" w:pos="4252"/>
        <w:tab w:val="right" w:pos="8504"/>
      </w:tabs>
    </w:pPr>
  </w:style>
  <w:style w:type="character" w:customStyle="1" w:styleId="PiedepginaCar">
    <w:name w:val="Pie de página Car"/>
    <w:basedOn w:val="Fuentedeprrafopredeter"/>
    <w:link w:val="Piedepgina"/>
    <w:uiPriority w:val="99"/>
    <w:rsid w:val="007C7168"/>
    <w:rPr>
      <w:rFonts w:ascii="Century Gothic" w:hAnsi="Century Gothic" w:cs="Century Gothic"/>
      <w:lang w:val="es-ES_tradnl"/>
    </w:rPr>
  </w:style>
  <w:style w:type="paragraph" w:customStyle="1" w:styleId="encabezadonovedades">
    <w:name w:val="encabezadonovedades"/>
    <w:basedOn w:val="Normal"/>
    <w:rsid w:val="00D94B6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sumarionovedades">
    <w:name w:val="sumarionovedades"/>
    <w:basedOn w:val="Fuentedeprrafopredeter"/>
    <w:rsid w:val="00D94B6C"/>
  </w:style>
  <w:style w:type="character" w:customStyle="1" w:styleId="negritanovedades">
    <w:name w:val="negritanovedades"/>
    <w:rsid w:val="000A037A"/>
  </w:style>
  <w:style w:type="character" w:customStyle="1" w:styleId="artculo">
    <w:name w:val="artculo"/>
    <w:rsid w:val="000A037A"/>
  </w:style>
  <w:style w:type="paragraph" w:customStyle="1" w:styleId="tablacentrado8">
    <w:name w:val="tablacentrado8"/>
    <w:basedOn w:val="Normal"/>
    <w:rsid w:val="00C86033"/>
    <w:pPr>
      <w:widowControl/>
      <w:autoSpaceDE/>
      <w:autoSpaceDN/>
      <w:jc w:val="center"/>
    </w:pPr>
    <w:rPr>
      <w:rFonts w:ascii="Verdana" w:hAnsi="Verdana" w:cs="Verdana"/>
      <w:sz w:val="15"/>
      <w:szCs w:val="15"/>
      <w:lang w:val="es-ES" w:eastAsia="es-ES"/>
    </w:rPr>
  </w:style>
  <w:style w:type="table" w:styleId="Tablaconcuadrcula1">
    <w:name w:val="Table Grid 1"/>
    <w:basedOn w:val="Tablanormal"/>
    <w:uiPriority w:val="99"/>
    <w:rsid w:val="00C86033"/>
    <w:pPr>
      <w:spacing w:after="0" w:line="240" w:lineRule="auto"/>
    </w:pPr>
    <w:rPr>
      <w:rFonts w:ascii="Century Gothic" w:hAnsi="Century Gothic" w:cs="Century Gothic"/>
      <w:sz w:val="20"/>
      <w:szCs w:val="20"/>
      <w:lang w:val="es-ES" w:eastAsia="es-ES"/>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Century Gothic"/>
      </w:rPr>
      <w:tblPr/>
      <w:tcPr>
        <w:tcBorders>
          <w:tl2br w:val="none" w:sz="0" w:space="0" w:color="auto"/>
          <w:tr2bl w:val="none" w:sz="0" w:space="0" w:color="auto"/>
        </w:tcBorders>
      </w:tcPr>
    </w:tblStylePr>
    <w:tblStylePr w:type="lastCol">
      <w:rPr>
        <w:rFonts w:cs="Century Gothic"/>
      </w:rPr>
      <w:tblPr/>
      <w:tcPr>
        <w:tcBorders>
          <w:tl2br w:val="none" w:sz="0" w:space="0" w:color="auto"/>
          <w:tr2bl w:val="none" w:sz="0" w:space="0" w:color="auto"/>
        </w:tcBorders>
      </w:tcPr>
    </w:tblStylePr>
  </w:style>
  <w:style w:type="paragraph" w:styleId="Prrafodelista">
    <w:name w:val="List Paragraph"/>
    <w:basedOn w:val="Normal"/>
    <w:uiPriority w:val="34"/>
    <w:qFormat/>
    <w:rsid w:val="0048594D"/>
    <w:pPr>
      <w:ind w:left="708"/>
    </w:pPr>
  </w:style>
  <w:style w:type="paragraph" w:styleId="Textonotaalfinal">
    <w:name w:val="endnote text"/>
    <w:basedOn w:val="Normal"/>
    <w:link w:val="TextonotaalfinalCar"/>
    <w:rsid w:val="00E60287"/>
    <w:rPr>
      <w:sz w:val="20"/>
      <w:szCs w:val="20"/>
    </w:rPr>
  </w:style>
  <w:style w:type="character" w:customStyle="1" w:styleId="TextonotaalfinalCar">
    <w:name w:val="Texto nota al final Car"/>
    <w:basedOn w:val="Fuentedeprrafopredeter"/>
    <w:link w:val="Textonotaalfinal"/>
    <w:rsid w:val="00E60287"/>
    <w:rPr>
      <w:rFonts w:ascii="Century Gothic" w:hAnsi="Century Gothic" w:cs="Century Gothic"/>
      <w:sz w:val="20"/>
      <w:szCs w:val="20"/>
      <w:lang w:val="es-ES_tradnl"/>
    </w:rPr>
  </w:style>
  <w:style w:type="character" w:styleId="Refdenotaalfinal">
    <w:name w:val="endnote reference"/>
    <w:basedOn w:val="Fuentedeprrafopredeter"/>
    <w:rsid w:val="00E60287"/>
    <w:rPr>
      <w:rFonts w:cs="Times New Roman"/>
      <w:vertAlign w:val="superscript"/>
    </w:rPr>
  </w:style>
  <w:style w:type="paragraph" w:customStyle="1" w:styleId="Default">
    <w:name w:val="Default"/>
    <w:rsid w:val="00A75DBC"/>
    <w:pPr>
      <w:autoSpaceDE w:val="0"/>
      <w:autoSpaceDN w:val="0"/>
      <w:adjustRightInd w:val="0"/>
      <w:spacing w:after="0" w:line="240" w:lineRule="auto"/>
    </w:pPr>
    <w:rPr>
      <w:rFonts w:ascii="Utopia" w:eastAsia="Calibri" w:hAnsi="Utopia" w:cs="Utopia"/>
      <w:color w:val="000000"/>
      <w:sz w:val="24"/>
      <w:szCs w:val="24"/>
      <w:lang w:val="es-ES" w:eastAsia="es-ES"/>
    </w:rPr>
  </w:style>
  <w:style w:type="paragraph" w:customStyle="1" w:styleId="sangrianovedades">
    <w:name w:val="sangria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character" w:customStyle="1" w:styleId="hipervnculo0">
    <w:name w:val="hipervnculo"/>
    <w:rsid w:val="00A75DBC"/>
  </w:style>
  <w:style w:type="paragraph" w:customStyle="1" w:styleId="errepar1erfrancesnovedades">
    <w:name w:val="errepar_1erfrances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errepar2dofrancesnovedades">
    <w:name w:val="errepar_2dofrancesnovedades"/>
    <w:basedOn w:val="Normal"/>
    <w:rsid w:val="00A75DBC"/>
    <w:pPr>
      <w:widowControl/>
      <w:autoSpaceDE/>
      <w:autoSpaceDN/>
      <w:spacing w:before="100" w:beforeAutospacing="1" w:after="100" w:afterAutospacing="1"/>
      <w:jc w:val="left"/>
    </w:pPr>
    <w:rPr>
      <w:rFonts w:ascii="Times New Roman" w:hAnsi="Times New Roman" w:cs="Times New Roman"/>
      <w:sz w:val="24"/>
      <w:szCs w:val="24"/>
      <w:lang w:val="es-AR"/>
    </w:rPr>
  </w:style>
  <w:style w:type="table" w:styleId="Tablaconcuadrcula">
    <w:name w:val="Table Grid"/>
    <w:basedOn w:val="Tablanormal"/>
    <w:uiPriority w:val="99"/>
    <w:rsid w:val="00A64D45"/>
    <w:pPr>
      <w:widowControl w:val="0"/>
      <w:autoSpaceDE w:val="0"/>
      <w:autoSpaceDN w:val="0"/>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repar3erfrancesnovedades">
    <w:name w:val="errepar_3erfrancesnovedades"/>
    <w:basedOn w:val="Normal"/>
    <w:rsid w:val="009F1341"/>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extocentradonegritanovedades">
    <w:name w:val="textocentradonegritanovedades"/>
    <w:basedOn w:val="Normal"/>
    <w:rsid w:val="009F1341"/>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tablaizquierda8">
    <w:name w:val="tablaizquierda8"/>
    <w:basedOn w:val="Normal"/>
    <w:rsid w:val="00DA246E"/>
    <w:pPr>
      <w:widowControl/>
      <w:autoSpaceDE/>
      <w:autoSpaceDN/>
      <w:spacing w:before="100" w:beforeAutospacing="1" w:after="100" w:afterAutospacing="1"/>
      <w:jc w:val="left"/>
    </w:pPr>
    <w:rPr>
      <w:rFonts w:ascii="Times New Roman" w:hAnsi="Times New Roman" w:cs="Times New Roman"/>
      <w:sz w:val="24"/>
      <w:szCs w:val="24"/>
      <w:lang w:val="es-AR"/>
    </w:rPr>
  </w:style>
  <w:style w:type="paragraph" w:customStyle="1" w:styleId="campoocultonovedades">
    <w:name w:val="campoocultonovedades"/>
    <w:basedOn w:val="Normal"/>
    <w:rsid w:val="00251182"/>
    <w:pPr>
      <w:widowControl/>
      <w:autoSpaceDE/>
      <w:autoSpaceDN/>
      <w:spacing w:line="0" w:lineRule="auto"/>
      <w:jc w:val="left"/>
    </w:pPr>
    <w:rPr>
      <w:rFonts w:ascii="Times New Roman" w:hAnsi="Times New Roman" w:cs="Times New Roman"/>
      <w:color w:val="FFFFFF"/>
      <w:sz w:val="24"/>
      <w:szCs w:val="24"/>
      <w:lang w:val="es-AR"/>
    </w:rPr>
  </w:style>
  <w:style w:type="character" w:customStyle="1" w:styleId="destination">
    <w:name w:val="destination"/>
    <w:basedOn w:val="Fuentedeprrafopredeter"/>
    <w:rsid w:val="0025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4771">
      <w:bodyDiv w:val="1"/>
      <w:marLeft w:val="0"/>
      <w:marRight w:val="0"/>
      <w:marTop w:val="0"/>
      <w:marBottom w:val="0"/>
      <w:divBdr>
        <w:top w:val="none" w:sz="0" w:space="0" w:color="auto"/>
        <w:left w:val="none" w:sz="0" w:space="0" w:color="auto"/>
        <w:bottom w:val="none" w:sz="0" w:space="0" w:color="auto"/>
        <w:right w:val="none" w:sz="0" w:space="0" w:color="auto"/>
      </w:divBdr>
    </w:div>
    <w:div w:id="229072664">
      <w:marLeft w:val="0"/>
      <w:marRight w:val="0"/>
      <w:marTop w:val="0"/>
      <w:marBottom w:val="0"/>
      <w:divBdr>
        <w:top w:val="none" w:sz="0" w:space="0" w:color="auto"/>
        <w:left w:val="none" w:sz="0" w:space="0" w:color="auto"/>
        <w:bottom w:val="none" w:sz="0" w:space="0" w:color="auto"/>
        <w:right w:val="none" w:sz="0" w:space="0" w:color="auto"/>
      </w:divBdr>
    </w:div>
    <w:div w:id="229072665">
      <w:marLeft w:val="0"/>
      <w:marRight w:val="0"/>
      <w:marTop w:val="0"/>
      <w:marBottom w:val="0"/>
      <w:divBdr>
        <w:top w:val="none" w:sz="0" w:space="0" w:color="auto"/>
        <w:left w:val="none" w:sz="0" w:space="0" w:color="auto"/>
        <w:bottom w:val="none" w:sz="0" w:space="0" w:color="auto"/>
        <w:right w:val="none" w:sz="0" w:space="0" w:color="auto"/>
      </w:divBdr>
    </w:div>
    <w:div w:id="229072666">
      <w:marLeft w:val="0"/>
      <w:marRight w:val="0"/>
      <w:marTop w:val="0"/>
      <w:marBottom w:val="0"/>
      <w:divBdr>
        <w:top w:val="none" w:sz="0" w:space="0" w:color="auto"/>
        <w:left w:val="none" w:sz="0" w:space="0" w:color="auto"/>
        <w:bottom w:val="none" w:sz="0" w:space="0" w:color="auto"/>
        <w:right w:val="none" w:sz="0" w:space="0" w:color="auto"/>
      </w:divBdr>
    </w:div>
    <w:div w:id="229072667">
      <w:marLeft w:val="0"/>
      <w:marRight w:val="0"/>
      <w:marTop w:val="0"/>
      <w:marBottom w:val="0"/>
      <w:divBdr>
        <w:top w:val="none" w:sz="0" w:space="0" w:color="auto"/>
        <w:left w:val="none" w:sz="0" w:space="0" w:color="auto"/>
        <w:bottom w:val="none" w:sz="0" w:space="0" w:color="auto"/>
        <w:right w:val="none" w:sz="0" w:space="0" w:color="auto"/>
      </w:divBdr>
    </w:div>
    <w:div w:id="951281726">
      <w:bodyDiv w:val="1"/>
      <w:marLeft w:val="0"/>
      <w:marRight w:val="0"/>
      <w:marTop w:val="0"/>
      <w:marBottom w:val="0"/>
      <w:divBdr>
        <w:top w:val="none" w:sz="0" w:space="0" w:color="auto"/>
        <w:left w:val="none" w:sz="0" w:space="0" w:color="auto"/>
        <w:bottom w:val="none" w:sz="0" w:space="0" w:color="auto"/>
        <w:right w:val="none" w:sz="0" w:space="0" w:color="auto"/>
      </w:divBdr>
    </w:div>
    <w:div w:id="1192644101">
      <w:bodyDiv w:val="1"/>
      <w:marLeft w:val="0"/>
      <w:marRight w:val="0"/>
      <w:marTop w:val="0"/>
      <w:marBottom w:val="0"/>
      <w:divBdr>
        <w:top w:val="none" w:sz="0" w:space="0" w:color="auto"/>
        <w:left w:val="none" w:sz="0" w:space="0" w:color="auto"/>
        <w:bottom w:val="none" w:sz="0" w:space="0" w:color="auto"/>
        <w:right w:val="none" w:sz="0" w:space="0" w:color="auto"/>
      </w:divBdr>
    </w:div>
    <w:div w:id="1466120267">
      <w:bodyDiv w:val="1"/>
      <w:marLeft w:val="0"/>
      <w:marRight w:val="0"/>
      <w:marTop w:val="0"/>
      <w:marBottom w:val="0"/>
      <w:divBdr>
        <w:top w:val="none" w:sz="0" w:space="0" w:color="auto"/>
        <w:left w:val="none" w:sz="0" w:space="0" w:color="auto"/>
        <w:bottom w:val="none" w:sz="0" w:space="0" w:color="auto"/>
        <w:right w:val="none" w:sz="0" w:space="0" w:color="auto"/>
      </w:divBdr>
    </w:div>
    <w:div w:id="164581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olgestion.errepar.com/sitios/eolgestion/Legislacion/20110807085425568.doc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7173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Circular   informativa</vt:lpstr>
    </vt:vector>
  </TitlesOfParts>
  <Company>L.B.</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   informativa</dc:title>
  <dc:subject/>
  <dc:creator>Desconocido</dc:creator>
  <cp:keywords/>
  <dc:description/>
  <cp:lastModifiedBy>FADEEAC</cp:lastModifiedBy>
  <cp:revision>2</cp:revision>
  <dcterms:created xsi:type="dcterms:W3CDTF">2018-01-25T13:52:00Z</dcterms:created>
  <dcterms:modified xsi:type="dcterms:W3CDTF">2018-01-25T13:52:00Z</dcterms:modified>
</cp:coreProperties>
</file>