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C5" w:rsidRDefault="001E53B1" w:rsidP="000907C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4080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004080"/>
          <w:sz w:val="24"/>
          <w:szCs w:val="24"/>
          <w:lang w:val="es-AR"/>
        </w:rPr>
        <w:t>RESOLUCION GENERAL S.S.N. 39.927</w:t>
      </w:r>
    </w:p>
    <w:p w:rsidR="000907C5" w:rsidRDefault="001E53B1" w:rsidP="000907C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4080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004080"/>
          <w:sz w:val="24"/>
          <w:szCs w:val="24"/>
          <w:lang w:val="es-AR"/>
        </w:rPr>
        <w:br/>
        <w:t>Buenos Aires, 14 de julio de 2016</w:t>
      </w:r>
    </w:p>
    <w:p w:rsidR="000907C5" w:rsidRDefault="001E53B1" w:rsidP="000907C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4080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004080"/>
          <w:sz w:val="24"/>
          <w:szCs w:val="24"/>
          <w:lang w:val="es-AR"/>
        </w:rPr>
        <w:br/>
        <w:t>B.O.: 18/7/16</w:t>
      </w:r>
    </w:p>
    <w:p w:rsidR="001E53B1" w:rsidRPr="000907C5" w:rsidRDefault="001E53B1" w:rsidP="000907C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4080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004080"/>
          <w:sz w:val="24"/>
          <w:szCs w:val="24"/>
          <w:lang w:val="es-AR"/>
        </w:rPr>
        <w:br/>
        <w:t>Vigencia: 18/7/16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555555"/>
          <w:sz w:val="24"/>
          <w:szCs w:val="24"/>
          <w:lang w:val="es-AR"/>
        </w:rPr>
        <w:t>Reglamento General de la Actividad Aseguradora. Reglamento de la Ley 20.091. Seguros de vehículos automotores y/o remolcados y de transporte público de pasajeros. Res. Gral. S.S.N. 38.708. Su modificación. Res. Gral. S.S.N. 38.065. Su derogación.</w:t>
      </w:r>
    </w:p>
    <w:p w:rsidR="001E53B1" w:rsidRPr="000907C5" w:rsidRDefault="001E53B1" w:rsidP="000907C5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555555"/>
          <w:sz w:val="24"/>
          <w:szCs w:val="24"/>
          <w:lang w:val="es-AR"/>
        </w:rPr>
        <w:t>Art. 1</w:t>
      </w: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 – Sustitúyese la Cláusula SO-RC 3.1 - Póliza básica del seguro obligatorio de responsabilidad civil, art. 68 de la Ley 24.449 (muerte, incapacidad, lesiones y obligación legal autónoma), dispuesta en el anexo del pto. 23.6, inc. a.1), del Reglamento General de la Actividad Aseguradora, por el que se consigna en el Anexo I de la presente resolución.</w:t>
      </w:r>
    </w:p>
    <w:p w:rsidR="001E53B1" w:rsidRPr="000907C5" w:rsidRDefault="001E53B1" w:rsidP="000907C5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555555"/>
          <w:sz w:val="24"/>
          <w:szCs w:val="24"/>
          <w:lang w:val="es-AR"/>
        </w:rPr>
        <w:t>Art. 2</w:t>
      </w: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 – Sustitúyense las condiciones generales del “Seguro de responsabilidad civil de vehículos automotores destinados al transporte público de pasajeros” (RC-TP 2.1) del clausulado único dispuesto en el anexo del pto. 23.6, inc. a.2) del Reglamento General de la Actividad Aseguradora, por el consignado en el Anexo II de la presente resolución.</w:t>
      </w:r>
    </w:p>
    <w:p w:rsidR="001E53B1" w:rsidRPr="000907C5" w:rsidRDefault="001E53B1" w:rsidP="000907C5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555555"/>
          <w:sz w:val="24"/>
          <w:szCs w:val="24"/>
          <w:lang w:val="es-AR"/>
        </w:rPr>
        <w:t>Art. 3</w:t>
      </w: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 – Autorízase a partir del 1 de setiembre de 2016 a las entidades aseguradoras a celebrar contratos de “Seguro de responsabilidad civil - Seguro voluntario para los vehículos automotores y/o remolcados”, con los límites máximos y uniformes de cobertura por acontecimiento que se detallan a continuación: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1. Pesos seis millones ($ 6.000.000) para las siguientes categorías de vehículos: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1.1. Automóviles y camionetas.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1.2. Vehículos remolcados.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1.3. Autos de alquiler sin chofer.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1.4. Motovehículos y bicicletas con motor.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1.5. Casas rodantes.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b/>
          <w:color w:val="1F1694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color w:val="1F1694"/>
          <w:sz w:val="24"/>
          <w:szCs w:val="24"/>
          <w:lang w:val="es-AR"/>
        </w:rPr>
        <w:t>2. Pesos dieciocho millones ($ 18.000.000) para las siguientes categorías de vehículos: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2.1. Taxis y remises.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2.2. Maquinarias rurales y viales.</w:t>
      </w:r>
      <w:bookmarkStart w:id="0" w:name="_GoBack"/>
      <w:bookmarkEnd w:id="0"/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1F1694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1F1694"/>
          <w:sz w:val="24"/>
          <w:szCs w:val="24"/>
          <w:lang w:val="es-AR"/>
        </w:rPr>
        <w:lastRenderedPageBreak/>
        <w:t>2.3. Camiones y semitracciones.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1F1694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1F1694"/>
          <w:sz w:val="24"/>
          <w:szCs w:val="24"/>
          <w:lang w:val="es-AR"/>
        </w:rPr>
        <w:t>2.4. Acoplados y semirremolques.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2.5. Servicios de urgencias.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2.6. Fuerzas de seguridad.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2.7. M1: vehículo para transporte de pasajeros, que no contenga más de ocho asientos además del asiento del conductor y que cargado no exceda de un peso máximo de tres mil quinientos kilogramos (3.500 kg).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3. Pesos treinta millones ($ 30.000.000) para las siguientes categorías de vehículos: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3.1. M2: vehículo para transporte de pasajeros con más de ocho asientos excluyendo el asiento del conductor, y que no exceda el peso máximo de cinco mil kilogramos (5.000 kg).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3.2. M3: vehículos para transporte de pasajeros con más de ocho asientos excluyendo el asiento del conductor, y que tenga un peso mayor a los cinco mil kilogramos (5.000 kg).</w:t>
      </w:r>
    </w:p>
    <w:p w:rsidR="001E53B1" w:rsidRPr="000907C5" w:rsidRDefault="001E53B1" w:rsidP="000907C5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555555"/>
          <w:sz w:val="24"/>
          <w:szCs w:val="24"/>
          <w:lang w:val="es-AR"/>
        </w:rPr>
        <w:t>Art. 4</w:t>
      </w: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 – Déjanse sin efecto del anexo del pto. 23.6, inc. a.1), del Reglamento General de la Actividad Aseguradora, las Cláusulas: CG-RC 1.2 - Riesgo cubierto; CG-RC 3.2 - Defensa en juicio civil; CG-DA 3.1 - Daño parcial; CG-DA 4.1 - Daño total; CG-IN 3.1 - Incendio parcial; CG-IN 4.1 - Incendio total; CG-RH 3.1 - Robo o hurto parcial; CG-RH 3.3 - Robo o hurto parcial al amparo del total; CG-RH 4.1 - Robo o hurto total; CG-CO 1.1 - Siniestro total por concurrencia de daño y/o incendio y/o robo o hurto; CG-CO 2.1 - Vehículos entrados al país con franquicias aduaneras; CA-DI 8.1 - Daños parciales y/o incendio parcial a consecuencia de robo o hurto total y posterior hallazgo del vehículo; CA-DI 14.1 - Ampliación de daños parciales entre asegurados; CA-DR 1.1 - Accesorios y/o elementos opcionales no originales de fábrica; CA-CC 4.1 - Ajuste automático con pago anticipado; CA-CC 6.1 - Disminución sobre valor promedio en plaza y CA-CC 10.1 - Ajuste automático con pago anticipado para seguros en moneda extranjera.</w:t>
      </w:r>
    </w:p>
    <w:p w:rsidR="001E53B1" w:rsidRPr="000907C5" w:rsidRDefault="001E53B1" w:rsidP="000907C5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555555"/>
          <w:sz w:val="24"/>
          <w:szCs w:val="24"/>
          <w:lang w:val="es-AR"/>
        </w:rPr>
        <w:t>Art. 5</w:t>
      </w: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 xml:space="preserve"> – Sustitúyense del anexo del pto. 23.6, inc. a.1), del Reglamento General de la Actividad Aseguradora, las Cláusulas: CA-RC 5.1 - Limitación de la cobertura de responsabilidad civil hacia terceros transportados y no transportados de vehículos automotores que ingresen a aeródromos o aeropuertos; CA-RC 5.2 - Limitación de la cobertura de responsabilidad civil hacia terceros transportados y no transportados de vehículos automotores que ingresen a campos petroleros; CA- RC 20.1 - Descubierto obligatorio a cargo del asegurado en el riesgo de responsabilidad civil de aplicación exclusivamente en vehículos destinados a taxi y remise; CA-DA 6.1 - Cobertura de granizo en daños parciales; CA-DI 17.1 - Franquicia simple; CA-DI 20.1 - Cobertura de </w:t>
      </w: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lastRenderedPageBreak/>
        <w:t>parabrisas y/o la luneta en daños parciales e incendio parcial; CA-DI 21.1 - Cobertura de las cerraduras de sus puertas y baúl, o en su caso en la cerradura de la quinta puerta, además de los cristales de las puertas laterales en daños parciales e incendio parcial; CA- RH 9.1 - Robo al contenido; CA-RH 10.1 - Franquicia a cargo del asegurado en el riesgo de robo o hurto total del vehículo; CA-CO 5.1 - Contratos celebrados en moneda extranjera y CA-CO 9.1 - Cobertura limitada por baja del vehículo por las obrantes en el Anexo III de la presente resolución.</w:t>
      </w:r>
    </w:p>
    <w:p w:rsidR="001E53B1" w:rsidRPr="000907C5" w:rsidRDefault="001E53B1" w:rsidP="000907C5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555555"/>
          <w:sz w:val="24"/>
          <w:szCs w:val="24"/>
          <w:lang w:val="es-AR"/>
        </w:rPr>
        <w:t>Art. 6</w:t>
      </w: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 – Apruébanse las Cláusulas CA-CO 5.2 - Contratos celebrados en moneda extranjera y CO-EX 1.2 - Seguro de responsabilidad civil del transportador carretero de viaje internacional por los territorios de los países de Argentina, Brasil, Paraguay y Uruguay - Daños causados a personas o cosas transportadas o no, a excepción de la carga transportada que constan en el Anexo IV de la presente resolución, las cuales pasarán a formar parte del anexo del pto. 23.6, inc. a.1), del Reglamento general de la actividad aseguradora.</w:t>
      </w:r>
    </w:p>
    <w:p w:rsidR="001E53B1" w:rsidRPr="000907C5" w:rsidRDefault="001E53B1" w:rsidP="000907C5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555555"/>
          <w:sz w:val="24"/>
          <w:szCs w:val="24"/>
          <w:lang w:val="es-AR"/>
        </w:rPr>
        <w:t>Art. 7</w:t>
      </w: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 – Sustitúyese del anexo del pto. 23.6, inc. a.2), del Reglamento General de la Actividad Aseguradora, el apartado definido bajo el título “Condiciones contractuales del seguro de vehículos automotores y/o remolcados aplicables a la cobertura de vehículos automotores destinados al transporte público de pasajeros” por el Anexo V de la presente resolución.</w:t>
      </w:r>
    </w:p>
    <w:p w:rsidR="001E53B1" w:rsidRPr="000907C5" w:rsidRDefault="001E53B1" w:rsidP="000907C5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555555"/>
          <w:sz w:val="24"/>
          <w:szCs w:val="24"/>
          <w:lang w:val="es-AR"/>
        </w:rPr>
        <w:t>Art. 8</w:t>
      </w: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 – Los límites de la cobertura de “Responsabilidad civil - Seguro voluntario para los vehículos automotores y/o remolcados”, establecidos en el art. 3 de la presente resolución, son únicos y obligatorios. Las aseguradoras podrán solicitar extender los citados límites, debiendo informar previamente a este organismo, conforme el pto. 24.1 del Reglamento General de la Actividad Aseguradora.</w:t>
      </w:r>
    </w:p>
    <w:p w:rsidR="001E53B1" w:rsidRPr="000907C5" w:rsidRDefault="001E53B1" w:rsidP="000907C5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555555"/>
          <w:sz w:val="24"/>
          <w:szCs w:val="24"/>
          <w:lang w:val="es-AR"/>
        </w:rPr>
        <w:t>Art. 9</w:t>
      </w: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 – Las entidades autorizadas a operar en el seguro voluntario para los vehículos automotores y/o remolcados no podrán emitir pólizas con una antelación mayor a los treinta días de su entrada en vigencia y sólo podrán emitirse contratos con una vigencia superior al año en los siguientes casos y condiciones: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a) Cuando se trate de unificar vencimientos de distintas pólizas de un mismo asegurado.</w:t>
      </w:r>
    </w:p>
    <w:p w:rsidR="001E53B1" w:rsidRPr="000907C5" w:rsidRDefault="001E53B1" w:rsidP="000907C5">
      <w:pPr>
        <w:spacing w:before="240" w:after="24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b) En los casos de cubrirse vehículos con garantía prendaria podrán emitirse contratos con vigencia anual continuada que abarque el período total del contrato prendario, aplicándose en cada nueva anualidad la prima y condiciones que rijan a ese momento.</w:t>
      </w:r>
    </w:p>
    <w:p w:rsidR="001E53B1" w:rsidRPr="000907C5" w:rsidRDefault="001E53B1" w:rsidP="000907C5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555555"/>
          <w:sz w:val="24"/>
          <w:szCs w:val="24"/>
          <w:lang w:val="es-AR"/>
        </w:rPr>
        <w:t>Art. 10</w:t>
      </w: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 – La presente resolución rige para las pólizas emitidas a partir del 1 de setiembre de 2016.</w:t>
      </w:r>
    </w:p>
    <w:p w:rsidR="001E53B1" w:rsidRPr="000907C5" w:rsidRDefault="001E53B1" w:rsidP="000907C5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es-AR"/>
        </w:rPr>
      </w:pPr>
      <w:r w:rsidRPr="000907C5">
        <w:rPr>
          <w:rFonts w:ascii="Arial" w:eastAsia="Times New Roman" w:hAnsi="Arial" w:cs="Arial"/>
          <w:b/>
          <w:bCs/>
          <w:color w:val="555555"/>
          <w:sz w:val="24"/>
          <w:szCs w:val="24"/>
          <w:lang w:val="es-AR"/>
        </w:rPr>
        <w:t>Art. 11</w:t>
      </w:r>
      <w:r w:rsidRPr="000907C5">
        <w:rPr>
          <w:rFonts w:ascii="Arial" w:eastAsia="Times New Roman" w:hAnsi="Arial" w:cs="Arial"/>
          <w:color w:val="555555"/>
          <w:sz w:val="24"/>
          <w:szCs w:val="24"/>
          <w:lang w:val="es-AR"/>
        </w:rPr>
        <w:t> – Déjase sin efecto la Res. Gral. S.S.N. 38.065 de fecha 27 de diciembre de 2013.</w:t>
      </w:r>
    </w:p>
    <w:p w:rsidR="001E53B1" w:rsidRPr="000907C5" w:rsidRDefault="001E53B1" w:rsidP="000907C5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0907C5">
        <w:rPr>
          <w:rFonts w:ascii="Arial" w:eastAsia="Times New Roman" w:hAnsi="Arial" w:cs="Arial"/>
          <w:b/>
          <w:bCs/>
          <w:color w:val="555555"/>
          <w:sz w:val="24"/>
          <w:szCs w:val="24"/>
        </w:rPr>
        <w:t>Art. 12</w:t>
      </w:r>
      <w:r w:rsidRPr="000907C5">
        <w:rPr>
          <w:rFonts w:ascii="Arial" w:eastAsia="Times New Roman" w:hAnsi="Arial" w:cs="Arial"/>
          <w:color w:val="555555"/>
          <w:sz w:val="24"/>
          <w:szCs w:val="24"/>
        </w:rPr>
        <w:t> – De forma.</w:t>
      </w:r>
    </w:p>
    <w:p w:rsidR="005C5E9A" w:rsidRPr="000907C5" w:rsidRDefault="005C5E9A" w:rsidP="000907C5">
      <w:pPr>
        <w:jc w:val="both"/>
        <w:rPr>
          <w:rFonts w:ascii="Arial" w:hAnsi="Arial" w:cs="Arial"/>
          <w:sz w:val="24"/>
          <w:szCs w:val="24"/>
        </w:rPr>
      </w:pPr>
    </w:p>
    <w:sectPr w:rsidR="005C5E9A" w:rsidRPr="000907C5" w:rsidSect="000907C5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B1"/>
    <w:rsid w:val="000907C5"/>
    <w:rsid w:val="001E53B1"/>
    <w:rsid w:val="005C5E9A"/>
    <w:rsid w:val="00C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99FED"/>
  <w15:docId w15:val="{31CCC086-E7DC-4B81-88B3-D184A83C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172">
          <w:marLeft w:val="0"/>
          <w:marRight w:val="0"/>
          <w:marTop w:val="600"/>
          <w:marBottom w:val="30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Gallotti, Mariela</dc:creator>
  <cp:lastModifiedBy>Betty Schanz</cp:lastModifiedBy>
  <cp:revision>4</cp:revision>
  <dcterms:created xsi:type="dcterms:W3CDTF">2016-08-08T12:40:00Z</dcterms:created>
  <dcterms:modified xsi:type="dcterms:W3CDTF">2016-08-08T12:49:00Z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