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3B62E5">
        <w:rPr>
          <w:rFonts w:ascii="Arial" w:hAnsi="Arial" w:cs="Arial"/>
          <w:b/>
          <w:bCs/>
          <w:sz w:val="36"/>
          <w:szCs w:val="36"/>
        </w:rPr>
        <w:t>18-</w:t>
      </w:r>
      <w:r w:rsidR="0084114F">
        <w:rPr>
          <w:rFonts w:ascii="Arial" w:hAnsi="Arial" w:cs="Arial"/>
          <w:b/>
          <w:bCs/>
          <w:sz w:val="36"/>
          <w:szCs w:val="36"/>
        </w:rPr>
        <w:t>0</w:t>
      </w:r>
      <w:r w:rsidR="0044789A">
        <w:rPr>
          <w:rFonts w:ascii="Arial" w:hAnsi="Arial" w:cs="Arial"/>
          <w:b/>
          <w:bCs/>
          <w:sz w:val="36"/>
          <w:szCs w:val="36"/>
        </w:rPr>
        <w:t>7</w:t>
      </w:r>
      <w:r w:rsidR="00402661">
        <w:rPr>
          <w:rFonts w:ascii="Arial" w:hAnsi="Arial" w:cs="Arial"/>
          <w:b/>
          <w:bCs/>
          <w:sz w:val="36"/>
          <w:szCs w:val="36"/>
        </w:rPr>
        <w:t>1</w:t>
      </w:r>
    </w:p>
    <w:p w:rsidR="003A1181" w:rsidRDefault="003A1181" w:rsidP="00733626">
      <w:pPr>
        <w:rPr>
          <w:rFonts w:ascii="Arial" w:hAnsi="Arial" w:cs="Arial"/>
          <w:b/>
          <w:bCs/>
          <w:sz w:val="28"/>
          <w:szCs w:val="28"/>
        </w:rPr>
      </w:pPr>
    </w:p>
    <w:p w:rsidR="0044789A" w:rsidRDefault="0044789A" w:rsidP="0044789A">
      <w:pPr>
        <w:rPr>
          <w:rFonts w:ascii="Arial" w:hAnsi="Arial" w:cs="Arial"/>
          <w:b/>
          <w:bCs/>
          <w:sz w:val="28"/>
          <w:szCs w:val="28"/>
          <w:lang w:val="es-AR"/>
        </w:rPr>
      </w:pPr>
      <w:bookmarkStart w:id="0" w:name="_GoBack"/>
      <w:bookmarkEnd w:id="0"/>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07</w:t>
      </w:r>
      <w:r w:rsidR="00402661">
        <w:rPr>
          <w:rFonts w:ascii="Arial" w:hAnsi="Arial" w:cs="Arial"/>
          <w:b/>
          <w:bCs/>
          <w:sz w:val="28"/>
          <w:szCs w:val="28"/>
        </w:rPr>
        <w:t>1</w:t>
      </w:r>
    </w:p>
    <w:p w:rsidR="0044789A" w:rsidRDefault="0044789A" w:rsidP="0044789A">
      <w:pPr>
        <w:rPr>
          <w:rFonts w:ascii="Arial" w:hAnsi="Arial" w:cs="Arial"/>
        </w:rPr>
      </w:pPr>
    </w:p>
    <w:p w:rsidR="00402661" w:rsidRPr="00402661" w:rsidRDefault="00402661" w:rsidP="00402661">
      <w:pPr>
        <w:rPr>
          <w:rStyle w:val="sumarionovedades"/>
          <w:rFonts w:ascii="Arial" w:hAnsi="Arial" w:cs="Arial"/>
          <w:b/>
          <w:iCs/>
          <w:color w:val="000000"/>
          <w:sz w:val="24"/>
          <w:szCs w:val="24"/>
        </w:rPr>
      </w:pPr>
      <w:r>
        <w:rPr>
          <w:rStyle w:val="sumarionovedades"/>
          <w:rFonts w:ascii="Arial" w:hAnsi="Arial" w:cs="Arial"/>
          <w:b/>
          <w:iCs/>
          <w:color w:val="000000"/>
          <w:sz w:val="24"/>
          <w:szCs w:val="24"/>
        </w:rPr>
        <w:t xml:space="preserve">Tema: </w:t>
      </w:r>
      <w:r w:rsidRPr="00402661">
        <w:rPr>
          <w:rStyle w:val="sumarionovedades"/>
          <w:rFonts w:ascii="Arial" w:hAnsi="Arial" w:cs="Arial"/>
          <w:b/>
          <w:iCs/>
          <w:color w:val="000000"/>
          <w:sz w:val="24"/>
          <w:szCs w:val="24"/>
        </w:rPr>
        <w:t>AFIP – Nuevo plan de Facilidades de Pago Permanente</w:t>
      </w:r>
    </w:p>
    <w:p w:rsidR="00402661" w:rsidRPr="00402661" w:rsidRDefault="00402661" w:rsidP="00402661">
      <w:pPr>
        <w:rPr>
          <w:rStyle w:val="sumarionovedades"/>
          <w:rFonts w:ascii="Arial" w:hAnsi="Arial" w:cs="Arial"/>
          <w:iCs/>
          <w:color w:val="000000"/>
          <w:sz w:val="24"/>
          <w:szCs w:val="24"/>
        </w:rPr>
      </w:pPr>
    </w:p>
    <w:p w:rsidR="00402661" w:rsidRDefault="00402661" w:rsidP="00402661">
      <w:pPr>
        <w:rPr>
          <w:rStyle w:val="sumarionovedades"/>
          <w:rFonts w:ascii="Arial" w:hAnsi="Arial" w:cs="Arial"/>
          <w:iCs/>
          <w:color w:val="000000"/>
          <w:sz w:val="24"/>
          <w:szCs w:val="24"/>
        </w:rPr>
      </w:pPr>
      <w:r w:rsidRPr="00402661">
        <w:rPr>
          <w:rStyle w:val="sumarionovedades"/>
          <w:rFonts w:ascii="Arial" w:hAnsi="Arial" w:cs="Arial"/>
          <w:iCs/>
          <w:color w:val="000000"/>
          <w:sz w:val="24"/>
          <w:szCs w:val="24"/>
        </w:rPr>
        <w:t>Acompañamos archivos con la Resolución General 4268 de la AFIP y sus Anexos, publicada en el Boletín Oficial el 2 de julio y que rige desde esa fecha, estableciendo un plan permanente de facilidades de pago que sustituye al de la Resolución General 3827 (y sus modificatorias).</w:t>
      </w:r>
    </w:p>
    <w:p w:rsidR="00402661" w:rsidRPr="00402661" w:rsidRDefault="00402661" w:rsidP="00402661">
      <w:pPr>
        <w:rPr>
          <w:rStyle w:val="sumarionovedades"/>
          <w:rFonts w:ascii="Arial" w:hAnsi="Arial" w:cs="Arial"/>
          <w:iCs/>
          <w:color w:val="000000"/>
          <w:sz w:val="24"/>
          <w:szCs w:val="24"/>
        </w:rPr>
      </w:pPr>
    </w:p>
    <w:p w:rsidR="00402661" w:rsidRPr="00402661" w:rsidRDefault="00402661" w:rsidP="00402661">
      <w:pPr>
        <w:rPr>
          <w:rStyle w:val="sumarionovedades"/>
          <w:rFonts w:ascii="Arial" w:hAnsi="Arial" w:cs="Arial"/>
          <w:iCs/>
          <w:color w:val="000000"/>
          <w:sz w:val="24"/>
          <w:szCs w:val="24"/>
        </w:rPr>
      </w:pPr>
      <w:r w:rsidRPr="00402661">
        <w:rPr>
          <w:rStyle w:val="sumarionovedades"/>
          <w:rFonts w:ascii="Arial" w:hAnsi="Arial" w:cs="Arial"/>
          <w:iCs/>
          <w:color w:val="000000"/>
          <w:sz w:val="24"/>
          <w:szCs w:val="24"/>
        </w:rPr>
        <w:t>Las condiciones de los planes, así como el número de planes que se pueden solicitar, se determinarán principalmente en función del tipo de contribuyente y del cumplimiento de sus obligaciones fiscales, de acuerdo a la caracterización registrada en el “Sistema de Perfil de Riesgo (SIPER)” de la Resolución General 3985, en principio mejorando las condiciones sólo para los contribuyentes con “</w:t>
      </w:r>
      <w:proofErr w:type="gramStart"/>
      <w:r w:rsidRPr="00402661">
        <w:rPr>
          <w:rStyle w:val="sumarionovedades"/>
          <w:rFonts w:ascii="Arial" w:hAnsi="Arial" w:cs="Arial"/>
          <w:iCs/>
          <w:color w:val="000000"/>
          <w:sz w:val="24"/>
          <w:szCs w:val="24"/>
        </w:rPr>
        <w:t>BAJO”  y</w:t>
      </w:r>
      <w:proofErr w:type="gramEnd"/>
      <w:r w:rsidRPr="00402661">
        <w:rPr>
          <w:rStyle w:val="sumarionovedades"/>
          <w:rFonts w:ascii="Arial" w:hAnsi="Arial" w:cs="Arial"/>
          <w:iCs/>
          <w:color w:val="000000"/>
          <w:sz w:val="24"/>
          <w:szCs w:val="24"/>
        </w:rPr>
        <w:t xml:space="preserve"> “MUY BAJO” riesgo (categorías A y B).</w:t>
      </w:r>
    </w:p>
    <w:p w:rsidR="00402661" w:rsidRDefault="00402661" w:rsidP="00402661">
      <w:pPr>
        <w:rPr>
          <w:rStyle w:val="sumarionovedades"/>
          <w:rFonts w:ascii="Arial" w:hAnsi="Arial" w:cs="Arial"/>
          <w:iCs/>
          <w:color w:val="000000"/>
          <w:sz w:val="24"/>
          <w:szCs w:val="24"/>
        </w:rPr>
      </w:pPr>
      <w:proofErr w:type="gramStart"/>
      <w:r w:rsidRPr="00402661">
        <w:rPr>
          <w:rStyle w:val="sumarionovedades"/>
          <w:rFonts w:ascii="Arial" w:hAnsi="Arial" w:cs="Arial"/>
          <w:iCs/>
          <w:color w:val="000000"/>
          <w:sz w:val="24"/>
          <w:szCs w:val="24"/>
        </w:rPr>
        <w:t>Además</w:t>
      </w:r>
      <w:proofErr w:type="gramEnd"/>
      <w:r w:rsidRPr="00402661">
        <w:rPr>
          <w:rStyle w:val="sumarionovedades"/>
          <w:rFonts w:ascii="Arial" w:hAnsi="Arial" w:cs="Arial"/>
          <w:iCs/>
          <w:color w:val="000000"/>
          <w:sz w:val="24"/>
          <w:szCs w:val="24"/>
        </w:rPr>
        <w:t xml:space="preserve"> en el caso de </w:t>
      </w:r>
      <w:r w:rsidRPr="00402661">
        <w:rPr>
          <w:rStyle w:val="sumarionovedades"/>
          <w:rFonts w:ascii="Arial" w:hAnsi="Arial" w:cs="Arial"/>
          <w:b/>
          <w:iCs/>
          <w:color w:val="000000"/>
          <w:sz w:val="24"/>
          <w:szCs w:val="24"/>
        </w:rPr>
        <w:t>micro y pequeñas empresas</w:t>
      </w:r>
      <w:r w:rsidRPr="00402661">
        <w:rPr>
          <w:rStyle w:val="sumarionovedades"/>
          <w:rFonts w:ascii="Arial" w:hAnsi="Arial" w:cs="Arial"/>
          <w:iCs/>
          <w:color w:val="000000"/>
          <w:sz w:val="24"/>
          <w:szCs w:val="24"/>
        </w:rPr>
        <w:t xml:space="preserve">, así caracterizadas en el “Registro de Empresas </w:t>
      </w:r>
      <w:proofErr w:type="spellStart"/>
      <w:r w:rsidRPr="00402661">
        <w:rPr>
          <w:rStyle w:val="sumarionovedades"/>
          <w:rFonts w:ascii="Arial" w:hAnsi="Arial" w:cs="Arial"/>
          <w:iCs/>
          <w:color w:val="000000"/>
          <w:sz w:val="24"/>
          <w:szCs w:val="24"/>
        </w:rPr>
        <w:t>MiPyMES</w:t>
      </w:r>
      <w:proofErr w:type="spellEnd"/>
      <w:r w:rsidRPr="00402661">
        <w:rPr>
          <w:rStyle w:val="sumarionovedades"/>
          <w:rFonts w:ascii="Arial" w:hAnsi="Arial" w:cs="Arial"/>
          <w:iCs/>
          <w:color w:val="000000"/>
          <w:sz w:val="24"/>
          <w:szCs w:val="24"/>
        </w:rPr>
        <w:t>”, el primer cuadro del Anexo II de la resolución fija las condiciones diferenciales para acceder.</w:t>
      </w:r>
    </w:p>
    <w:p w:rsidR="00402661" w:rsidRPr="00402661" w:rsidRDefault="00402661" w:rsidP="00402661">
      <w:pPr>
        <w:rPr>
          <w:rStyle w:val="sumarionovedades"/>
          <w:rFonts w:ascii="Arial" w:hAnsi="Arial" w:cs="Arial"/>
          <w:iCs/>
          <w:color w:val="000000"/>
          <w:sz w:val="24"/>
          <w:szCs w:val="24"/>
        </w:rPr>
      </w:pPr>
    </w:p>
    <w:p w:rsidR="00402661" w:rsidRDefault="00402661" w:rsidP="00402661">
      <w:pPr>
        <w:rPr>
          <w:rStyle w:val="sumarionovedades"/>
          <w:rFonts w:ascii="Arial" w:hAnsi="Arial" w:cs="Arial"/>
          <w:iCs/>
          <w:color w:val="000000"/>
          <w:sz w:val="24"/>
          <w:szCs w:val="24"/>
        </w:rPr>
      </w:pPr>
      <w:r w:rsidRPr="00402661">
        <w:rPr>
          <w:rStyle w:val="sumarionovedades"/>
          <w:rFonts w:ascii="Arial" w:hAnsi="Arial" w:cs="Arial"/>
          <w:iCs/>
          <w:color w:val="000000"/>
          <w:sz w:val="24"/>
          <w:szCs w:val="24"/>
        </w:rPr>
        <w:t xml:space="preserve">Otro de los aspectos que tiene en cuenta la Resolución es el ofrecimiento de garantías en los términos de la Resolución General 3885, que mejora las tasas de interés según surge de los cuadros del Anexo II antes mencionados. </w:t>
      </w:r>
    </w:p>
    <w:p w:rsidR="00402661" w:rsidRPr="00402661" w:rsidRDefault="00402661" w:rsidP="00402661">
      <w:pPr>
        <w:rPr>
          <w:rStyle w:val="sumarionovedades"/>
          <w:rFonts w:ascii="Arial" w:hAnsi="Arial" w:cs="Arial"/>
          <w:iCs/>
          <w:color w:val="000000"/>
          <w:sz w:val="24"/>
          <w:szCs w:val="24"/>
        </w:rPr>
      </w:pPr>
    </w:p>
    <w:p w:rsidR="00402661" w:rsidRDefault="00402661" w:rsidP="00402661">
      <w:pPr>
        <w:rPr>
          <w:rStyle w:val="sumarionovedades"/>
          <w:rFonts w:ascii="Arial" w:hAnsi="Arial" w:cs="Arial"/>
          <w:iCs/>
          <w:color w:val="000000"/>
          <w:sz w:val="24"/>
          <w:szCs w:val="24"/>
        </w:rPr>
      </w:pPr>
      <w:r w:rsidRPr="00402661">
        <w:rPr>
          <w:rStyle w:val="sumarionovedades"/>
          <w:rFonts w:ascii="Arial" w:hAnsi="Arial" w:cs="Arial"/>
          <w:iCs/>
          <w:color w:val="000000"/>
          <w:sz w:val="24"/>
          <w:szCs w:val="24"/>
        </w:rPr>
        <w:t xml:space="preserve">También se fijan condiciones especiales para los sujetos alcanzados por el estado de emergencia y/o desastre declarado en determinadas zonas del país, siempre que así se encuentren caracterizados en el sistema, aspecto también regulado en la Resolución General 3827 (y modificatorias), al igual </w:t>
      </w:r>
      <w:proofErr w:type="gramStart"/>
      <w:r w:rsidRPr="00402661">
        <w:rPr>
          <w:rStyle w:val="sumarionovedades"/>
          <w:rFonts w:ascii="Arial" w:hAnsi="Arial" w:cs="Arial"/>
          <w:iCs/>
          <w:color w:val="000000"/>
          <w:sz w:val="24"/>
          <w:szCs w:val="24"/>
        </w:rPr>
        <w:t>que  el</w:t>
      </w:r>
      <w:proofErr w:type="gramEnd"/>
      <w:r w:rsidRPr="00402661">
        <w:rPr>
          <w:rStyle w:val="sumarionovedades"/>
          <w:rFonts w:ascii="Arial" w:hAnsi="Arial" w:cs="Arial"/>
          <w:iCs/>
          <w:color w:val="000000"/>
          <w:sz w:val="24"/>
          <w:szCs w:val="24"/>
        </w:rPr>
        <w:t xml:space="preserve"> tipo de deuda a consolidar.</w:t>
      </w:r>
    </w:p>
    <w:p w:rsidR="00402661" w:rsidRPr="00402661" w:rsidRDefault="00402661" w:rsidP="00402661">
      <w:pPr>
        <w:rPr>
          <w:rStyle w:val="sumarionovedades"/>
          <w:rFonts w:ascii="Arial" w:hAnsi="Arial" w:cs="Arial"/>
          <w:iCs/>
          <w:color w:val="000000"/>
          <w:sz w:val="24"/>
          <w:szCs w:val="24"/>
        </w:rPr>
      </w:pPr>
    </w:p>
    <w:p w:rsidR="00402661" w:rsidRDefault="00402661" w:rsidP="00402661">
      <w:pPr>
        <w:rPr>
          <w:rStyle w:val="sumarionovedades"/>
          <w:rFonts w:ascii="Arial" w:hAnsi="Arial" w:cs="Arial"/>
          <w:iCs/>
          <w:color w:val="000000"/>
          <w:sz w:val="24"/>
          <w:szCs w:val="24"/>
        </w:rPr>
      </w:pPr>
      <w:r w:rsidRPr="00402661">
        <w:rPr>
          <w:rStyle w:val="sumarionovedades"/>
          <w:rFonts w:ascii="Arial" w:hAnsi="Arial" w:cs="Arial"/>
          <w:iCs/>
          <w:color w:val="000000"/>
          <w:sz w:val="24"/>
          <w:szCs w:val="24"/>
        </w:rPr>
        <w:t>El monto de deuda a consolidar es otro elemento tenido en cuenta, fijando también tasas diferenciales según supere o no las 41.000 Unidades de Valor Adquisitivo (UVA), que como referencia informamos que al 2 de julio representaba $ 24,35 cada unidad.</w:t>
      </w:r>
    </w:p>
    <w:p w:rsidR="00402661" w:rsidRPr="00402661" w:rsidRDefault="00402661" w:rsidP="00402661">
      <w:pPr>
        <w:rPr>
          <w:rStyle w:val="sumarionovedades"/>
          <w:rFonts w:ascii="Arial" w:hAnsi="Arial" w:cs="Arial"/>
          <w:iCs/>
          <w:color w:val="000000"/>
          <w:sz w:val="24"/>
          <w:szCs w:val="24"/>
        </w:rPr>
      </w:pPr>
    </w:p>
    <w:p w:rsidR="00402661" w:rsidRPr="00402661" w:rsidRDefault="00402661" w:rsidP="00402661">
      <w:pPr>
        <w:rPr>
          <w:rStyle w:val="sumarionovedades"/>
          <w:rFonts w:ascii="Arial" w:hAnsi="Arial" w:cs="Arial"/>
          <w:iCs/>
          <w:color w:val="000000"/>
          <w:sz w:val="24"/>
          <w:szCs w:val="24"/>
        </w:rPr>
      </w:pPr>
      <w:r w:rsidRPr="00402661">
        <w:rPr>
          <w:rStyle w:val="sumarionovedades"/>
          <w:rFonts w:ascii="Arial" w:hAnsi="Arial" w:cs="Arial"/>
          <w:iCs/>
          <w:color w:val="000000"/>
          <w:sz w:val="24"/>
          <w:szCs w:val="24"/>
        </w:rPr>
        <w:t>Un aspecto importante que introduce la nueva resolución en el artículo 11 inciso c) y el artículo 12, es establecer la posibilidad de que el organismo admita o no la aceptación del plan en función del monto de la cuota, que no deberá ser superior al 25% del promedio mensual de ingreso del contribuyente de los últimos 12 períodos fiscales vencidos del Impuesto al Valor Agregado.</w:t>
      </w:r>
    </w:p>
    <w:p w:rsidR="00402661" w:rsidRPr="00402661" w:rsidRDefault="00402661" w:rsidP="00402661">
      <w:pPr>
        <w:rPr>
          <w:rStyle w:val="sumarionovedades"/>
          <w:rFonts w:ascii="Arial" w:hAnsi="Arial" w:cs="Arial"/>
          <w:i/>
          <w:iCs/>
          <w:color w:val="000000"/>
          <w:sz w:val="24"/>
          <w:szCs w:val="24"/>
        </w:rPr>
      </w:pPr>
      <w:r w:rsidRPr="00402661">
        <w:rPr>
          <w:rStyle w:val="sumarionovedades"/>
          <w:rFonts w:ascii="Arial" w:hAnsi="Arial" w:cs="Arial"/>
          <w:iCs/>
          <w:color w:val="000000"/>
          <w:sz w:val="24"/>
          <w:szCs w:val="24"/>
        </w:rPr>
        <w:t>También las condiciones relativas a la caducidad del plan de facilidades de pago operarán en forma diferenciada siguen el Perfil de Riesgo (SIPER) de los contribuyentes.</w:t>
      </w:r>
    </w:p>
    <w:p w:rsidR="003A1181" w:rsidRPr="00402661" w:rsidRDefault="003A1181" w:rsidP="00402661">
      <w:pPr>
        <w:rPr>
          <w:rFonts w:ascii="Arial" w:hAnsi="Arial" w:cs="Arial"/>
          <w:sz w:val="24"/>
          <w:szCs w:val="24"/>
        </w:rPr>
      </w:pPr>
    </w:p>
    <w:sectPr w:rsidR="003A1181" w:rsidRPr="00402661" w:rsidSect="008D0F75">
      <w:headerReference w:type="default" r:id="rId7"/>
      <w:pgSz w:w="11907" w:h="16840" w:code="9"/>
      <w:pgMar w:top="2268" w:right="1417" w:bottom="851"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Arial"/>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0E5A3E3D"/>
    <w:multiLevelType w:val="multilevel"/>
    <w:tmpl w:val="F482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49481C"/>
    <w:multiLevelType w:val="hybridMultilevel"/>
    <w:tmpl w:val="2E7A43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20122"/>
    <w:multiLevelType w:val="multilevel"/>
    <w:tmpl w:val="466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250FF"/>
    <w:multiLevelType w:val="multilevel"/>
    <w:tmpl w:val="308E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0452165"/>
    <w:multiLevelType w:val="multilevel"/>
    <w:tmpl w:val="8C262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D41E8"/>
    <w:multiLevelType w:val="multilevel"/>
    <w:tmpl w:val="22B8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907A1"/>
    <w:multiLevelType w:val="multilevel"/>
    <w:tmpl w:val="04C2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64FF4406"/>
    <w:multiLevelType w:val="hybridMultilevel"/>
    <w:tmpl w:val="D0C6D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1D127E5"/>
    <w:multiLevelType w:val="multilevel"/>
    <w:tmpl w:val="88B2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7"/>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5"/>
  </w:num>
  <w:num w:numId="15">
    <w:abstractNumId w:val="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84810"/>
    <w:rsid w:val="000A037A"/>
    <w:rsid w:val="00103D11"/>
    <w:rsid w:val="001051DB"/>
    <w:rsid w:val="001110B3"/>
    <w:rsid w:val="001615CE"/>
    <w:rsid w:val="00172641"/>
    <w:rsid w:val="00194AEE"/>
    <w:rsid w:val="001F2147"/>
    <w:rsid w:val="001F255C"/>
    <w:rsid w:val="002230A0"/>
    <w:rsid w:val="00246E3C"/>
    <w:rsid w:val="00297F23"/>
    <w:rsid w:val="002A654F"/>
    <w:rsid w:val="002A7D7B"/>
    <w:rsid w:val="002C3828"/>
    <w:rsid w:val="002E0225"/>
    <w:rsid w:val="002F1399"/>
    <w:rsid w:val="00342069"/>
    <w:rsid w:val="003606A1"/>
    <w:rsid w:val="00372901"/>
    <w:rsid w:val="003929A9"/>
    <w:rsid w:val="003A07E6"/>
    <w:rsid w:val="003A115E"/>
    <w:rsid w:val="003A1181"/>
    <w:rsid w:val="003B62E5"/>
    <w:rsid w:val="003D2043"/>
    <w:rsid w:val="0040035C"/>
    <w:rsid w:val="00402661"/>
    <w:rsid w:val="00425FF7"/>
    <w:rsid w:val="00430745"/>
    <w:rsid w:val="0044789A"/>
    <w:rsid w:val="00463C6C"/>
    <w:rsid w:val="004811C1"/>
    <w:rsid w:val="0048594D"/>
    <w:rsid w:val="004A6B4B"/>
    <w:rsid w:val="00525985"/>
    <w:rsid w:val="00543CF6"/>
    <w:rsid w:val="00547178"/>
    <w:rsid w:val="00580660"/>
    <w:rsid w:val="00591F7A"/>
    <w:rsid w:val="00592C0B"/>
    <w:rsid w:val="005C5498"/>
    <w:rsid w:val="005E111D"/>
    <w:rsid w:val="00606B7E"/>
    <w:rsid w:val="00620472"/>
    <w:rsid w:val="00632FB4"/>
    <w:rsid w:val="00657964"/>
    <w:rsid w:val="00682765"/>
    <w:rsid w:val="00690C2D"/>
    <w:rsid w:val="0069737F"/>
    <w:rsid w:val="006D5FA4"/>
    <w:rsid w:val="006D7B9C"/>
    <w:rsid w:val="006E1AA8"/>
    <w:rsid w:val="0070499C"/>
    <w:rsid w:val="007161A5"/>
    <w:rsid w:val="00733626"/>
    <w:rsid w:val="007A6359"/>
    <w:rsid w:val="007C7168"/>
    <w:rsid w:val="007E7821"/>
    <w:rsid w:val="007F0A45"/>
    <w:rsid w:val="007F6012"/>
    <w:rsid w:val="00822470"/>
    <w:rsid w:val="0083335D"/>
    <w:rsid w:val="00834D33"/>
    <w:rsid w:val="0084114F"/>
    <w:rsid w:val="008418D3"/>
    <w:rsid w:val="00871C1E"/>
    <w:rsid w:val="00897A05"/>
    <w:rsid w:val="008A51DC"/>
    <w:rsid w:val="008D0F75"/>
    <w:rsid w:val="008E4875"/>
    <w:rsid w:val="008F0A1B"/>
    <w:rsid w:val="00901959"/>
    <w:rsid w:val="0091582E"/>
    <w:rsid w:val="00936424"/>
    <w:rsid w:val="0094765A"/>
    <w:rsid w:val="00966E72"/>
    <w:rsid w:val="00987644"/>
    <w:rsid w:val="00991E2F"/>
    <w:rsid w:val="009C0B71"/>
    <w:rsid w:val="009D7C7C"/>
    <w:rsid w:val="009E458A"/>
    <w:rsid w:val="009E5FFB"/>
    <w:rsid w:val="00A011A0"/>
    <w:rsid w:val="00A33A9F"/>
    <w:rsid w:val="00A55517"/>
    <w:rsid w:val="00A676C5"/>
    <w:rsid w:val="00A9675F"/>
    <w:rsid w:val="00AB574D"/>
    <w:rsid w:val="00AD5ED5"/>
    <w:rsid w:val="00AD7AD6"/>
    <w:rsid w:val="00AE0ACE"/>
    <w:rsid w:val="00AE5D6A"/>
    <w:rsid w:val="00B05C4D"/>
    <w:rsid w:val="00B9296B"/>
    <w:rsid w:val="00B973C9"/>
    <w:rsid w:val="00BC207E"/>
    <w:rsid w:val="00BF4047"/>
    <w:rsid w:val="00C01294"/>
    <w:rsid w:val="00C0365F"/>
    <w:rsid w:val="00C47642"/>
    <w:rsid w:val="00C6083B"/>
    <w:rsid w:val="00C64AA0"/>
    <w:rsid w:val="00C86033"/>
    <w:rsid w:val="00CB195B"/>
    <w:rsid w:val="00CD21F8"/>
    <w:rsid w:val="00CD41C0"/>
    <w:rsid w:val="00D650F0"/>
    <w:rsid w:val="00D73962"/>
    <w:rsid w:val="00D94573"/>
    <w:rsid w:val="00D94B6C"/>
    <w:rsid w:val="00DB1CF7"/>
    <w:rsid w:val="00DB540A"/>
    <w:rsid w:val="00DD4C24"/>
    <w:rsid w:val="00DF2A4F"/>
    <w:rsid w:val="00E14174"/>
    <w:rsid w:val="00E2396E"/>
    <w:rsid w:val="00E5626B"/>
    <w:rsid w:val="00E60287"/>
    <w:rsid w:val="00EC046E"/>
    <w:rsid w:val="00EF766D"/>
    <w:rsid w:val="00EF776A"/>
    <w:rsid w:val="00EF7BFD"/>
    <w:rsid w:val="00F01D15"/>
    <w:rsid w:val="00F46141"/>
    <w:rsid w:val="00F52CAA"/>
    <w:rsid w:val="00F75F74"/>
    <w:rsid w:val="00F81D02"/>
    <w:rsid w:val="00F84809"/>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B59A0"/>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uiPriority w:val="99"/>
    <w:rsid w:val="000A037A"/>
  </w:style>
  <w:style w:type="character" w:customStyle="1" w:styleId="artculo">
    <w:name w:val="artculo"/>
    <w:rsid w:val="000A037A"/>
  </w:style>
  <w:style w:type="paragraph" w:customStyle="1" w:styleId="tablacentrado8">
    <w:name w:val="tablacentrado8"/>
    <w:basedOn w:val="Normal"/>
    <w:uiPriority w:val="99"/>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rsid w:val="00E60287"/>
    <w:rPr>
      <w:sz w:val="20"/>
      <w:szCs w:val="20"/>
    </w:rPr>
  </w:style>
  <w:style w:type="character" w:customStyle="1" w:styleId="TextonotaalfinalCar">
    <w:name w:val="Texto nota al final Car"/>
    <w:basedOn w:val="Fuentedeprrafopredeter"/>
    <w:link w:val="Textonotaalfinal"/>
    <w:uiPriority w:val="99"/>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rsid w:val="00E60287"/>
    <w:rPr>
      <w:rFonts w:cs="Times New Roman"/>
      <w:vertAlign w:val="superscript"/>
    </w:rPr>
  </w:style>
  <w:style w:type="table" w:styleId="Tablaconcuadrcula">
    <w:name w:val="Table Grid"/>
    <w:basedOn w:val="Tablanormal"/>
    <w:uiPriority w:val="59"/>
    <w:rsid w:val="00CD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1erfrancesnovedades">
    <w:name w:val="errepar_1er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basedOn w:val="Fuentedeprrafopredeter"/>
    <w:rsid w:val="00E14174"/>
    <w:rPr>
      <w:rFonts w:cs="Times New Roman"/>
    </w:rPr>
  </w:style>
  <w:style w:type="character" w:styleId="Textoennegrita">
    <w:name w:val="Strong"/>
    <w:basedOn w:val="Fuentedeprrafopredeter"/>
    <w:uiPriority w:val="22"/>
    <w:qFormat/>
    <w:rsid w:val="007F0A45"/>
    <w:rPr>
      <w:b/>
      <w:bCs/>
    </w:rPr>
  </w:style>
  <w:style w:type="paragraph" w:styleId="Textoindependiente">
    <w:name w:val="Body Text"/>
    <w:basedOn w:val="Normal"/>
    <w:link w:val="TextoindependienteCar"/>
    <w:uiPriority w:val="99"/>
    <w:rsid w:val="003606A1"/>
    <w:rPr>
      <w:rFonts w:eastAsiaTheme="minorEastAsia"/>
      <w:u w:val="single"/>
    </w:rPr>
  </w:style>
  <w:style w:type="character" w:customStyle="1" w:styleId="TextoindependienteCar">
    <w:name w:val="Texto independiente Car"/>
    <w:basedOn w:val="Fuentedeprrafopredeter"/>
    <w:link w:val="Textoindependiente"/>
    <w:uiPriority w:val="99"/>
    <w:rsid w:val="003606A1"/>
    <w:rPr>
      <w:rFonts w:ascii="Century Gothic" w:eastAsiaTheme="minorEastAsia" w:hAnsi="Century Gothic" w:cs="Century Gothic"/>
      <w:u w:val="single"/>
      <w:lang w:val="es-ES_tradnl"/>
    </w:rPr>
  </w:style>
  <w:style w:type="paragraph" w:customStyle="1" w:styleId="normalweb0">
    <w:name w:val="normalweb"/>
    <w:basedOn w:val="Normal"/>
    <w:rsid w:val="00AE5D6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AE5D6A"/>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0777">
      <w:bodyDiv w:val="1"/>
      <w:marLeft w:val="0"/>
      <w:marRight w:val="0"/>
      <w:marTop w:val="0"/>
      <w:marBottom w:val="0"/>
      <w:divBdr>
        <w:top w:val="none" w:sz="0" w:space="0" w:color="auto"/>
        <w:left w:val="none" w:sz="0" w:space="0" w:color="auto"/>
        <w:bottom w:val="none" w:sz="0" w:space="0" w:color="auto"/>
        <w:right w:val="none" w:sz="0" w:space="0" w:color="auto"/>
      </w:divBdr>
    </w:div>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245386871">
      <w:bodyDiv w:val="1"/>
      <w:marLeft w:val="0"/>
      <w:marRight w:val="0"/>
      <w:marTop w:val="0"/>
      <w:marBottom w:val="0"/>
      <w:divBdr>
        <w:top w:val="none" w:sz="0" w:space="0" w:color="auto"/>
        <w:left w:val="none" w:sz="0" w:space="0" w:color="auto"/>
        <w:bottom w:val="none" w:sz="0" w:space="0" w:color="auto"/>
        <w:right w:val="none" w:sz="0" w:space="0" w:color="auto"/>
      </w:divBdr>
    </w:div>
    <w:div w:id="311758607">
      <w:bodyDiv w:val="1"/>
      <w:marLeft w:val="0"/>
      <w:marRight w:val="0"/>
      <w:marTop w:val="0"/>
      <w:marBottom w:val="0"/>
      <w:divBdr>
        <w:top w:val="none" w:sz="0" w:space="0" w:color="auto"/>
        <w:left w:val="none" w:sz="0" w:space="0" w:color="auto"/>
        <w:bottom w:val="none" w:sz="0" w:space="0" w:color="auto"/>
        <w:right w:val="none" w:sz="0" w:space="0" w:color="auto"/>
      </w:divBdr>
    </w:div>
    <w:div w:id="678579801">
      <w:bodyDiv w:val="1"/>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106391271">
      <w:bodyDiv w:val="1"/>
      <w:marLeft w:val="0"/>
      <w:marRight w:val="0"/>
      <w:marTop w:val="0"/>
      <w:marBottom w:val="0"/>
      <w:divBdr>
        <w:top w:val="none" w:sz="0" w:space="0" w:color="auto"/>
        <w:left w:val="none" w:sz="0" w:space="0" w:color="auto"/>
        <w:bottom w:val="none" w:sz="0" w:space="0" w:color="auto"/>
        <w:right w:val="none" w:sz="0" w:space="0" w:color="auto"/>
      </w:divBdr>
    </w:div>
    <w:div w:id="1113398367">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17508681">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 w:id="1887331268">
      <w:bodyDiv w:val="1"/>
      <w:marLeft w:val="0"/>
      <w:marRight w:val="0"/>
      <w:marTop w:val="0"/>
      <w:marBottom w:val="0"/>
      <w:divBdr>
        <w:top w:val="none" w:sz="0" w:space="0" w:color="auto"/>
        <w:left w:val="none" w:sz="0" w:space="0" w:color="auto"/>
        <w:bottom w:val="none" w:sz="0" w:space="0" w:color="auto"/>
        <w:right w:val="none" w:sz="0" w:space="0" w:color="auto"/>
      </w:divBdr>
    </w:div>
    <w:div w:id="20413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FADEEAC</cp:lastModifiedBy>
  <cp:revision>3</cp:revision>
  <dcterms:created xsi:type="dcterms:W3CDTF">2018-07-03T17:43:00Z</dcterms:created>
  <dcterms:modified xsi:type="dcterms:W3CDTF">2018-07-03T17:44:00Z</dcterms:modified>
</cp:coreProperties>
</file>