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E2" w:rsidRPr="00203B84" w:rsidRDefault="000119E2" w:rsidP="000119E2">
      <w:pPr>
        <w:rPr>
          <w:i/>
          <w:sz w:val="18"/>
          <w:szCs w:val="18"/>
          <w:u w:val="single"/>
        </w:rPr>
      </w:pPr>
      <w:bookmarkStart w:id="0" w:name="_GoBack"/>
      <w:bookmarkEnd w:id="0"/>
    </w:p>
    <w:p w:rsidR="00F51E2F" w:rsidRPr="00C25834" w:rsidRDefault="003C7A39" w:rsidP="00F51E2F">
      <w:pPr>
        <w:jc w:val="center"/>
        <w:rPr>
          <w:rFonts w:ascii="Verdana" w:hAnsi="Verdana"/>
          <w:b/>
          <w:i/>
          <w:sz w:val="18"/>
          <w:szCs w:val="18"/>
          <w:u w:val="single"/>
        </w:rPr>
      </w:pPr>
      <w:r w:rsidRPr="00C25834">
        <w:rPr>
          <w:rFonts w:ascii="Verdana" w:hAnsi="Verdana"/>
          <w:b/>
          <w:i/>
          <w:sz w:val="18"/>
          <w:szCs w:val="18"/>
          <w:u w:val="single"/>
        </w:rPr>
        <w:t xml:space="preserve">PROVINCIA </w:t>
      </w:r>
      <w:r w:rsidR="004944A1" w:rsidRPr="00C25834">
        <w:rPr>
          <w:rFonts w:ascii="Verdana" w:hAnsi="Verdana"/>
          <w:b/>
          <w:i/>
          <w:sz w:val="18"/>
          <w:szCs w:val="18"/>
          <w:u w:val="single"/>
        </w:rPr>
        <w:t>DE CORDOBA</w:t>
      </w:r>
    </w:p>
    <w:p w:rsidR="00F51E2F" w:rsidRPr="00203B84" w:rsidRDefault="00F51E2F" w:rsidP="00F51E2F">
      <w:pPr>
        <w:jc w:val="center"/>
        <w:rPr>
          <w:sz w:val="18"/>
          <w:szCs w:val="18"/>
        </w:rPr>
      </w:pPr>
    </w:p>
    <w:p w:rsidR="00F51E2F" w:rsidRPr="00203B84" w:rsidRDefault="00F51E2F" w:rsidP="00F51E2F">
      <w:pPr>
        <w:rPr>
          <w:sz w:val="18"/>
          <w:szCs w:val="18"/>
        </w:rPr>
      </w:pPr>
    </w:p>
    <w:p w:rsidR="00F51E2F" w:rsidRPr="00203B84" w:rsidRDefault="00F51E2F" w:rsidP="00F51E2F">
      <w:pPr>
        <w:rPr>
          <w:rFonts w:ascii="Comic Sans MS" w:hAnsi="Comic Sans MS"/>
          <w:sz w:val="18"/>
          <w:szCs w:val="18"/>
        </w:rPr>
      </w:pPr>
      <w:r w:rsidRPr="00203B84">
        <w:rPr>
          <w:rFonts w:ascii="Comic Sans MS" w:hAnsi="Comic Sans MS"/>
          <w:b/>
          <w:i/>
          <w:sz w:val="18"/>
          <w:szCs w:val="18"/>
          <w:u w:val="single"/>
        </w:rPr>
        <w:t>CODIFICACION – ALICUOTAS</w:t>
      </w:r>
      <w:r w:rsidR="00537D7E" w:rsidRPr="00203B84">
        <w:rPr>
          <w:rFonts w:ascii="Comic Sans MS" w:hAnsi="Comic Sans MS"/>
          <w:b/>
          <w:i/>
          <w:sz w:val="18"/>
          <w:szCs w:val="18"/>
          <w:u w:val="single"/>
        </w:rPr>
        <w:t xml:space="preserve">  </w:t>
      </w:r>
      <w:r w:rsidR="00702A2E" w:rsidRPr="00203B84">
        <w:rPr>
          <w:rFonts w:ascii="Comic Sans MS" w:hAnsi="Comic Sans MS"/>
          <w:b/>
          <w:i/>
          <w:sz w:val="18"/>
          <w:szCs w:val="18"/>
          <w:u w:val="single"/>
        </w:rPr>
        <w:t>201</w:t>
      </w:r>
      <w:r w:rsidR="00B666E7">
        <w:rPr>
          <w:rFonts w:ascii="Comic Sans MS" w:hAnsi="Comic Sans MS"/>
          <w:b/>
          <w:i/>
          <w:sz w:val="18"/>
          <w:szCs w:val="18"/>
          <w:u w:val="single"/>
        </w:rPr>
        <w:t>9</w:t>
      </w:r>
      <w:r w:rsidR="009A259C">
        <w:rPr>
          <w:rFonts w:ascii="Comic Sans MS" w:hAnsi="Comic Sans MS"/>
          <w:b/>
          <w:i/>
          <w:sz w:val="18"/>
          <w:szCs w:val="18"/>
          <w:u w:val="single"/>
        </w:rPr>
        <w:t xml:space="preserve"> </w:t>
      </w:r>
      <w:r w:rsidR="00932C2A" w:rsidRPr="00203B84">
        <w:rPr>
          <w:rFonts w:ascii="Comic Sans MS" w:hAnsi="Comic Sans MS"/>
          <w:i/>
          <w:sz w:val="18"/>
          <w:szCs w:val="18"/>
          <w:u w:val="single"/>
        </w:rPr>
        <w:t>(</w:t>
      </w:r>
      <w:proofErr w:type="gramStart"/>
      <w:r w:rsidR="00932C2A" w:rsidRPr="00203B84">
        <w:rPr>
          <w:rFonts w:ascii="Comic Sans MS" w:hAnsi="Comic Sans MS"/>
          <w:b/>
          <w:i/>
          <w:sz w:val="18"/>
          <w:szCs w:val="18"/>
          <w:u w:val="single"/>
        </w:rPr>
        <w:t>G</w:t>
      </w:r>
      <w:r w:rsidR="00294C3F" w:rsidRPr="00203B84">
        <w:rPr>
          <w:rFonts w:ascii="Comic Sans MS" w:hAnsi="Comic Sans MS"/>
          <w:b/>
          <w:i/>
          <w:sz w:val="18"/>
          <w:szCs w:val="18"/>
          <w:u w:val="single"/>
        </w:rPr>
        <w:t>eneral</w:t>
      </w:r>
      <w:r w:rsidR="00932C2A" w:rsidRPr="00203B84">
        <w:rPr>
          <w:rFonts w:ascii="Comic Sans MS" w:hAnsi="Comic Sans MS"/>
          <w:b/>
          <w:i/>
          <w:sz w:val="18"/>
          <w:szCs w:val="18"/>
          <w:u w:val="single"/>
        </w:rPr>
        <w:t xml:space="preserve">  </w:t>
      </w:r>
      <w:r w:rsidR="00294C3F" w:rsidRPr="00203B84">
        <w:rPr>
          <w:rFonts w:ascii="Comic Sans MS" w:hAnsi="Comic Sans MS"/>
          <w:b/>
          <w:i/>
          <w:sz w:val="18"/>
          <w:szCs w:val="18"/>
          <w:u w:val="single"/>
        </w:rPr>
        <w:t>4</w:t>
      </w:r>
      <w:proofErr w:type="gramEnd"/>
      <w:r w:rsidR="00932C2A" w:rsidRPr="00203B84">
        <w:rPr>
          <w:rFonts w:ascii="Comic Sans MS" w:hAnsi="Comic Sans MS"/>
          <w:b/>
          <w:i/>
          <w:sz w:val="18"/>
          <w:szCs w:val="18"/>
          <w:u w:val="single"/>
        </w:rPr>
        <w:t>%</w:t>
      </w:r>
      <w:r w:rsidR="00FC7515">
        <w:rPr>
          <w:rFonts w:ascii="Comic Sans MS" w:hAnsi="Comic Sans MS"/>
          <w:b/>
          <w:i/>
          <w:sz w:val="18"/>
          <w:szCs w:val="18"/>
          <w:u w:val="single"/>
        </w:rPr>
        <w:t>,</w:t>
      </w:r>
      <w:r w:rsidR="00B666E7">
        <w:rPr>
          <w:rFonts w:ascii="Comic Sans MS" w:hAnsi="Comic Sans MS"/>
          <w:b/>
          <w:i/>
          <w:sz w:val="18"/>
          <w:szCs w:val="18"/>
          <w:u w:val="single"/>
        </w:rPr>
        <w:t>)</w:t>
      </w:r>
    </w:p>
    <w:p w:rsidR="00F51E2F" w:rsidRPr="00203B84" w:rsidRDefault="00F51E2F" w:rsidP="00F51E2F">
      <w:pPr>
        <w:rPr>
          <w:rFonts w:ascii="Comic Sans MS" w:hAnsi="Comic Sans MS"/>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134"/>
        <w:gridCol w:w="4394"/>
        <w:gridCol w:w="1559"/>
        <w:gridCol w:w="2835"/>
      </w:tblGrid>
      <w:tr w:rsidR="00987AA5" w:rsidRPr="00203B84" w:rsidTr="00294C3F">
        <w:trPr>
          <w:trHeight w:val="352"/>
        </w:trPr>
        <w:tc>
          <w:tcPr>
            <w:tcW w:w="2235" w:type="dxa"/>
            <w:gridSpan w:val="2"/>
          </w:tcPr>
          <w:p w:rsidR="00987AA5" w:rsidRPr="00203B84" w:rsidRDefault="00987AA5" w:rsidP="00203B84">
            <w:pPr>
              <w:jc w:val="center"/>
              <w:rPr>
                <w:rFonts w:ascii="Comic Sans MS" w:hAnsi="Comic Sans MS"/>
                <w:b/>
                <w:sz w:val="18"/>
                <w:szCs w:val="18"/>
              </w:rPr>
            </w:pPr>
            <w:r w:rsidRPr="00203B84">
              <w:rPr>
                <w:rFonts w:ascii="Comic Sans MS" w:hAnsi="Comic Sans MS"/>
                <w:b/>
                <w:sz w:val="18"/>
                <w:szCs w:val="18"/>
              </w:rPr>
              <w:t>CODIGO</w:t>
            </w:r>
          </w:p>
        </w:tc>
        <w:tc>
          <w:tcPr>
            <w:tcW w:w="4394" w:type="dxa"/>
            <w:vMerge w:val="restart"/>
          </w:tcPr>
          <w:p w:rsidR="00987AA5" w:rsidRPr="00203B84" w:rsidRDefault="00987AA5" w:rsidP="007F6C8D">
            <w:pPr>
              <w:jc w:val="center"/>
              <w:rPr>
                <w:rFonts w:ascii="Comic Sans MS" w:hAnsi="Comic Sans MS"/>
                <w:b/>
                <w:sz w:val="18"/>
                <w:szCs w:val="18"/>
              </w:rPr>
            </w:pPr>
          </w:p>
          <w:p w:rsidR="00987AA5" w:rsidRPr="00203B84" w:rsidRDefault="00987AA5" w:rsidP="007F6C8D">
            <w:pPr>
              <w:jc w:val="center"/>
              <w:rPr>
                <w:rFonts w:ascii="Comic Sans MS" w:hAnsi="Comic Sans MS"/>
                <w:b/>
                <w:sz w:val="18"/>
                <w:szCs w:val="18"/>
              </w:rPr>
            </w:pPr>
            <w:r w:rsidRPr="00203B84">
              <w:rPr>
                <w:rFonts w:ascii="Comic Sans MS" w:hAnsi="Comic Sans MS"/>
                <w:b/>
                <w:sz w:val="18"/>
                <w:szCs w:val="18"/>
              </w:rPr>
              <w:t>DESCRIPCION</w:t>
            </w:r>
          </w:p>
        </w:tc>
        <w:tc>
          <w:tcPr>
            <w:tcW w:w="1559" w:type="dxa"/>
            <w:vMerge w:val="restart"/>
          </w:tcPr>
          <w:p w:rsidR="00987AA5" w:rsidRPr="00203B84" w:rsidRDefault="00987AA5" w:rsidP="007F6C8D">
            <w:pPr>
              <w:jc w:val="center"/>
              <w:rPr>
                <w:rFonts w:ascii="Comic Sans MS" w:hAnsi="Comic Sans MS"/>
                <w:b/>
                <w:sz w:val="18"/>
                <w:szCs w:val="18"/>
              </w:rPr>
            </w:pPr>
            <w:r w:rsidRPr="00203B84">
              <w:rPr>
                <w:rFonts w:ascii="Comic Sans MS" w:hAnsi="Comic Sans MS"/>
                <w:b/>
                <w:sz w:val="18"/>
                <w:szCs w:val="18"/>
              </w:rPr>
              <w:t>ALICUOTA</w:t>
            </w:r>
          </w:p>
          <w:p w:rsidR="00516796" w:rsidRPr="00203B84" w:rsidRDefault="00C75268" w:rsidP="00EC7825">
            <w:pPr>
              <w:jc w:val="center"/>
              <w:rPr>
                <w:rFonts w:ascii="Comic Sans MS" w:hAnsi="Comic Sans MS"/>
                <w:b/>
                <w:sz w:val="18"/>
                <w:szCs w:val="18"/>
              </w:rPr>
            </w:pPr>
            <w:r w:rsidRPr="00203B84">
              <w:rPr>
                <w:rFonts w:ascii="Comic Sans MS" w:hAnsi="Comic Sans MS"/>
                <w:b/>
                <w:sz w:val="18"/>
                <w:szCs w:val="18"/>
              </w:rPr>
              <w:t>(*)</w:t>
            </w:r>
            <w:r w:rsidR="00DA19F3">
              <w:rPr>
                <w:rFonts w:ascii="Comic Sans MS" w:hAnsi="Comic Sans MS"/>
                <w:b/>
                <w:sz w:val="18"/>
                <w:szCs w:val="18"/>
              </w:rPr>
              <w:t xml:space="preserve"> (***)</w:t>
            </w:r>
          </w:p>
        </w:tc>
        <w:tc>
          <w:tcPr>
            <w:tcW w:w="2835" w:type="dxa"/>
            <w:vMerge w:val="restart"/>
          </w:tcPr>
          <w:p w:rsidR="00987AA5" w:rsidRPr="00203B84" w:rsidRDefault="00987AA5" w:rsidP="007F6C8D">
            <w:pPr>
              <w:jc w:val="center"/>
              <w:rPr>
                <w:rFonts w:ascii="Comic Sans MS" w:hAnsi="Comic Sans MS"/>
                <w:b/>
                <w:sz w:val="18"/>
                <w:szCs w:val="18"/>
              </w:rPr>
            </w:pPr>
          </w:p>
          <w:p w:rsidR="00987AA5" w:rsidRPr="00203B84" w:rsidRDefault="00987AA5" w:rsidP="007F6C8D">
            <w:pPr>
              <w:jc w:val="center"/>
              <w:rPr>
                <w:rFonts w:ascii="Comic Sans MS" w:hAnsi="Comic Sans MS"/>
                <w:b/>
                <w:sz w:val="18"/>
                <w:szCs w:val="18"/>
              </w:rPr>
            </w:pPr>
            <w:r w:rsidRPr="00203B84">
              <w:rPr>
                <w:rFonts w:ascii="Comic Sans MS" w:hAnsi="Comic Sans MS"/>
                <w:b/>
                <w:sz w:val="18"/>
                <w:szCs w:val="18"/>
              </w:rPr>
              <w:t>OBSERVACIONES</w:t>
            </w:r>
          </w:p>
        </w:tc>
      </w:tr>
      <w:tr w:rsidR="00987AA5" w:rsidRPr="00203B84" w:rsidTr="00EC7825">
        <w:trPr>
          <w:trHeight w:val="276"/>
        </w:trPr>
        <w:tc>
          <w:tcPr>
            <w:tcW w:w="1101" w:type="dxa"/>
          </w:tcPr>
          <w:p w:rsidR="00987AA5" w:rsidRPr="00203B84" w:rsidRDefault="00987AA5" w:rsidP="007F6C8D">
            <w:pPr>
              <w:jc w:val="center"/>
              <w:rPr>
                <w:rFonts w:ascii="Comic Sans MS" w:hAnsi="Comic Sans MS"/>
                <w:b/>
                <w:sz w:val="18"/>
                <w:szCs w:val="18"/>
              </w:rPr>
            </w:pPr>
            <w:r w:rsidRPr="00203B84">
              <w:rPr>
                <w:rFonts w:ascii="Comic Sans MS" w:hAnsi="Comic Sans MS"/>
                <w:b/>
                <w:sz w:val="18"/>
                <w:szCs w:val="18"/>
              </w:rPr>
              <w:t>C.M.</w:t>
            </w:r>
          </w:p>
        </w:tc>
        <w:tc>
          <w:tcPr>
            <w:tcW w:w="1134" w:type="dxa"/>
          </w:tcPr>
          <w:p w:rsidR="00987AA5" w:rsidRPr="00203B84" w:rsidRDefault="00987AA5" w:rsidP="007F6C8D">
            <w:pPr>
              <w:jc w:val="center"/>
              <w:rPr>
                <w:rFonts w:ascii="Comic Sans MS" w:hAnsi="Comic Sans MS"/>
                <w:b/>
                <w:sz w:val="18"/>
                <w:szCs w:val="18"/>
              </w:rPr>
            </w:pPr>
            <w:r w:rsidRPr="00203B84">
              <w:rPr>
                <w:rFonts w:ascii="Comic Sans MS" w:hAnsi="Comic Sans MS"/>
                <w:b/>
                <w:sz w:val="18"/>
                <w:szCs w:val="18"/>
              </w:rPr>
              <w:t>PCIA.</w:t>
            </w:r>
          </w:p>
        </w:tc>
        <w:tc>
          <w:tcPr>
            <w:tcW w:w="4394" w:type="dxa"/>
            <w:vMerge/>
          </w:tcPr>
          <w:p w:rsidR="00987AA5" w:rsidRPr="00203B84" w:rsidRDefault="00987AA5" w:rsidP="007F6C8D">
            <w:pPr>
              <w:jc w:val="center"/>
              <w:rPr>
                <w:rFonts w:ascii="Comic Sans MS" w:hAnsi="Comic Sans MS"/>
                <w:b/>
                <w:sz w:val="18"/>
                <w:szCs w:val="18"/>
              </w:rPr>
            </w:pPr>
          </w:p>
        </w:tc>
        <w:tc>
          <w:tcPr>
            <w:tcW w:w="1559" w:type="dxa"/>
            <w:vMerge/>
          </w:tcPr>
          <w:p w:rsidR="00987AA5" w:rsidRPr="00203B84" w:rsidRDefault="00987AA5" w:rsidP="007F6C8D">
            <w:pPr>
              <w:jc w:val="center"/>
              <w:rPr>
                <w:rFonts w:ascii="Comic Sans MS" w:hAnsi="Comic Sans MS"/>
                <w:b/>
                <w:sz w:val="18"/>
                <w:szCs w:val="18"/>
              </w:rPr>
            </w:pPr>
          </w:p>
        </w:tc>
        <w:tc>
          <w:tcPr>
            <w:tcW w:w="2835" w:type="dxa"/>
            <w:vMerge/>
          </w:tcPr>
          <w:p w:rsidR="00987AA5" w:rsidRPr="00203B84" w:rsidRDefault="00987AA5" w:rsidP="007F6C8D">
            <w:pPr>
              <w:jc w:val="center"/>
              <w:rPr>
                <w:rFonts w:ascii="Comic Sans MS" w:hAnsi="Comic Sans MS"/>
                <w:b/>
                <w:sz w:val="18"/>
                <w:szCs w:val="18"/>
              </w:rPr>
            </w:pPr>
          </w:p>
        </w:tc>
      </w:tr>
      <w:tr w:rsidR="009F3939" w:rsidRPr="00203B84" w:rsidTr="00AF5E80">
        <w:trPr>
          <w:trHeight w:val="438"/>
        </w:trPr>
        <w:tc>
          <w:tcPr>
            <w:tcW w:w="1101" w:type="dxa"/>
          </w:tcPr>
          <w:p w:rsidR="009F3939" w:rsidRPr="00203B84" w:rsidRDefault="009F3939" w:rsidP="00640F12">
            <w:pPr>
              <w:jc w:val="center"/>
              <w:rPr>
                <w:rFonts w:ascii="Comic Sans MS" w:hAnsi="Comic Sans MS"/>
                <w:b/>
                <w:sz w:val="18"/>
                <w:szCs w:val="18"/>
              </w:rPr>
            </w:pPr>
          </w:p>
          <w:p w:rsidR="009F3939" w:rsidRPr="00203B84" w:rsidRDefault="009F3939" w:rsidP="00640F12">
            <w:pPr>
              <w:jc w:val="center"/>
              <w:rPr>
                <w:rFonts w:ascii="Comic Sans MS" w:hAnsi="Comic Sans MS"/>
                <w:b/>
                <w:sz w:val="18"/>
                <w:szCs w:val="18"/>
              </w:rPr>
            </w:pPr>
            <w:r>
              <w:rPr>
                <w:rFonts w:ascii="Comic Sans MS" w:hAnsi="Comic Sans MS"/>
                <w:b/>
                <w:sz w:val="18"/>
                <w:szCs w:val="18"/>
              </w:rPr>
              <w:t>49</w:t>
            </w:r>
            <w:r w:rsidRPr="00203B84">
              <w:rPr>
                <w:rFonts w:ascii="Comic Sans MS" w:hAnsi="Comic Sans MS"/>
                <w:b/>
                <w:sz w:val="18"/>
                <w:szCs w:val="18"/>
              </w:rPr>
              <w:t>2</w:t>
            </w:r>
            <w:r>
              <w:rPr>
                <w:rFonts w:ascii="Comic Sans MS" w:hAnsi="Comic Sans MS"/>
                <w:b/>
                <w:sz w:val="18"/>
                <w:szCs w:val="18"/>
              </w:rPr>
              <w:t>2</w:t>
            </w:r>
            <w:r w:rsidRPr="00203B84">
              <w:rPr>
                <w:rFonts w:ascii="Comic Sans MS" w:hAnsi="Comic Sans MS"/>
                <w:b/>
                <w:sz w:val="18"/>
                <w:szCs w:val="18"/>
              </w:rPr>
              <w:t>10</w:t>
            </w:r>
          </w:p>
        </w:tc>
        <w:tc>
          <w:tcPr>
            <w:tcW w:w="1134" w:type="dxa"/>
          </w:tcPr>
          <w:p w:rsidR="009F3939" w:rsidRPr="00203B84" w:rsidRDefault="009F3939" w:rsidP="007F6C8D">
            <w:pPr>
              <w:jc w:val="center"/>
              <w:rPr>
                <w:rFonts w:ascii="Comic Sans MS" w:hAnsi="Comic Sans MS"/>
                <w:b/>
                <w:sz w:val="18"/>
                <w:szCs w:val="18"/>
              </w:rPr>
            </w:pPr>
          </w:p>
          <w:p w:rsidR="009F3939" w:rsidRPr="00203B84" w:rsidRDefault="009F3939" w:rsidP="007F6C8D">
            <w:pPr>
              <w:jc w:val="center"/>
              <w:rPr>
                <w:rFonts w:ascii="Comic Sans MS" w:hAnsi="Comic Sans MS"/>
                <w:b/>
                <w:sz w:val="18"/>
                <w:szCs w:val="18"/>
              </w:rPr>
            </w:pPr>
            <w:r>
              <w:rPr>
                <w:rFonts w:ascii="Comic Sans MS" w:hAnsi="Comic Sans MS"/>
                <w:b/>
                <w:sz w:val="18"/>
                <w:szCs w:val="18"/>
              </w:rPr>
              <w:t>49</w:t>
            </w:r>
            <w:r w:rsidRPr="00203B84">
              <w:rPr>
                <w:rFonts w:ascii="Comic Sans MS" w:hAnsi="Comic Sans MS"/>
                <w:b/>
                <w:sz w:val="18"/>
                <w:szCs w:val="18"/>
              </w:rPr>
              <w:t>2</w:t>
            </w:r>
            <w:r>
              <w:rPr>
                <w:rFonts w:ascii="Comic Sans MS" w:hAnsi="Comic Sans MS"/>
                <w:b/>
                <w:sz w:val="18"/>
                <w:szCs w:val="18"/>
              </w:rPr>
              <w:t>2</w:t>
            </w:r>
            <w:r w:rsidRPr="00203B84">
              <w:rPr>
                <w:rFonts w:ascii="Comic Sans MS" w:hAnsi="Comic Sans MS"/>
                <w:b/>
                <w:sz w:val="18"/>
                <w:szCs w:val="18"/>
              </w:rPr>
              <w:t>10</w:t>
            </w:r>
          </w:p>
        </w:tc>
        <w:tc>
          <w:tcPr>
            <w:tcW w:w="4394" w:type="dxa"/>
          </w:tcPr>
          <w:p w:rsidR="009F3939" w:rsidRPr="00203B84" w:rsidRDefault="009F3939" w:rsidP="007F6C8D">
            <w:pPr>
              <w:rPr>
                <w:rFonts w:ascii="Comic Sans MS" w:hAnsi="Comic Sans MS"/>
                <w:b/>
                <w:sz w:val="18"/>
                <w:szCs w:val="18"/>
              </w:rPr>
            </w:pPr>
          </w:p>
          <w:p w:rsidR="009F3939" w:rsidRPr="00203B84" w:rsidRDefault="009F3939" w:rsidP="00E01174">
            <w:pPr>
              <w:rPr>
                <w:rFonts w:ascii="Comic Sans MS" w:hAnsi="Comic Sans MS"/>
                <w:b/>
                <w:sz w:val="18"/>
                <w:szCs w:val="18"/>
              </w:rPr>
            </w:pPr>
            <w:r w:rsidRPr="00203B84">
              <w:rPr>
                <w:rFonts w:ascii="Comic Sans MS" w:hAnsi="Comic Sans MS"/>
                <w:b/>
                <w:sz w:val="18"/>
                <w:szCs w:val="18"/>
              </w:rPr>
              <w:t>Servicio de Mudanzas</w:t>
            </w:r>
            <w:r>
              <w:rPr>
                <w:rFonts w:ascii="Comic Sans MS" w:hAnsi="Comic Sans MS"/>
                <w:b/>
                <w:sz w:val="18"/>
                <w:szCs w:val="18"/>
              </w:rPr>
              <w:t>.</w:t>
            </w:r>
          </w:p>
        </w:tc>
        <w:tc>
          <w:tcPr>
            <w:tcW w:w="1559" w:type="dxa"/>
          </w:tcPr>
          <w:p w:rsidR="009F3939" w:rsidRDefault="00F7751D" w:rsidP="00E924A9">
            <w:pPr>
              <w:jc w:val="center"/>
              <w:rPr>
                <w:rFonts w:ascii="Comic Sans MS" w:hAnsi="Comic Sans MS"/>
                <w:b/>
                <w:sz w:val="18"/>
                <w:szCs w:val="18"/>
              </w:rPr>
            </w:pPr>
            <w:r>
              <w:rPr>
                <w:rFonts w:ascii="Comic Sans MS" w:hAnsi="Comic Sans MS"/>
                <w:b/>
                <w:sz w:val="18"/>
                <w:szCs w:val="18"/>
              </w:rPr>
              <w:t>1,663</w:t>
            </w:r>
            <w:r w:rsidR="009F3939">
              <w:rPr>
                <w:rFonts w:ascii="Comic Sans MS" w:hAnsi="Comic Sans MS"/>
                <w:b/>
                <w:sz w:val="18"/>
                <w:szCs w:val="18"/>
              </w:rPr>
              <w:t>%</w:t>
            </w:r>
          </w:p>
          <w:p w:rsidR="00886435" w:rsidRPr="00203B84" w:rsidRDefault="00886435" w:rsidP="00E924A9">
            <w:pPr>
              <w:jc w:val="center"/>
              <w:rPr>
                <w:rFonts w:ascii="Comic Sans MS" w:hAnsi="Comic Sans MS"/>
                <w:b/>
                <w:sz w:val="18"/>
                <w:szCs w:val="18"/>
              </w:rPr>
            </w:pPr>
            <w:r>
              <w:rPr>
                <w:rFonts w:ascii="Comic Sans MS" w:hAnsi="Comic Sans MS"/>
                <w:b/>
                <w:sz w:val="18"/>
                <w:szCs w:val="18"/>
              </w:rPr>
              <w:t>o 1,164%</w:t>
            </w:r>
          </w:p>
        </w:tc>
        <w:tc>
          <w:tcPr>
            <w:tcW w:w="2835" w:type="dxa"/>
            <w:vMerge w:val="restart"/>
          </w:tcPr>
          <w:p w:rsidR="009F3939" w:rsidRPr="00203B84"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p>
          <w:p w:rsidR="009F3939" w:rsidRDefault="009F3939" w:rsidP="007F6C8D">
            <w:pPr>
              <w:rPr>
                <w:rFonts w:ascii="Comic Sans MS" w:hAnsi="Comic Sans MS"/>
                <w:b/>
                <w:sz w:val="18"/>
                <w:szCs w:val="18"/>
              </w:rPr>
            </w:pPr>
          </w:p>
          <w:p w:rsidR="009F3939" w:rsidRPr="00203B84" w:rsidRDefault="009F3939" w:rsidP="007F6C8D">
            <w:pPr>
              <w:rPr>
                <w:rFonts w:ascii="Comic Sans MS" w:hAnsi="Comic Sans MS"/>
                <w:b/>
                <w:sz w:val="18"/>
                <w:szCs w:val="18"/>
              </w:rPr>
            </w:pPr>
            <w:r>
              <w:rPr>
                <w:rFonts w:ascii="Comic Sans MS" w:hAnsi="Comic Sans MS"/>
                <w:b/>
                <w:sz w:val="18"/>
                <w:szCs w:val="18"/>
              </w:rPr>
              <w:t>Ley 105</w:t>
            </w:r>
            <w:r w:rsidR="00F7751D">
              <w:rPr>
                <w:rFonts w:ascii="Comic Sans MS" w:hAnsi="Comic Sans MS"/>
                <w:b/>
                <w:sz w:val="18"/>
                <w:szCs w:val="18"/>
              </w:rPr>
              <w:t>94</w:t>
            </w:r>
            <w:r w:rsidRPr="00203B84">
              <w:rPr>
                <w:rFonts w:ascii="Comic Sans MS" w:hAnsi="Comic Sans MS"/>
                <w:b/>
                <w:sz w:val="18"/>
                <w:szCs w:val="18"/>
              </w:rPr>
              <w:t xml:space="preserve"> </w:t>
            </w:r>
            <w:r>
              <w:rPr>
                <w:rFonts w:ascii="Comic Sans MS" w:hAnsi="Comic Sans MS"/>
                <w:b/>
                <w:sz w:val="18"/>
                <w:szCs w:val="18"/>
              </w:rPr>
              <w:t xml:space="preserve">Anexo I </w:t>
            </w:r>
          </w:p>
          <w:p w:rsidR="009F3939" w:rsidRPr="00203B84" w:rsidRDefault="009F3939" w:rsidP="007F6C8D">
            <w:pPr>
              <w:rPr>
                <w:rFonts w:ascii="Comic Sans MS" w:hAnsi="Comic Sans MS"/>
                <w:b/>
                <w:sz w:val="18"/>
                <w:szCs w:val="18"/>
              </w:rPr>
            </w:pPr>
          </w:p>
        </w:tc>
      </w:tr>
      <w:tr w:rsidR="009F3939" w:rsidRPr="00203B84" w:rsidTr="00294C3F">
        <w:trPr>
          <w:trHeight w:val="545"/>
        </w:trPr>
        <w:tc>
          <w:tcPr>
            <w:tcW w:w="1101" w:type="dxa"/>
          </w:tcPr>
          <w:p w:rsidR="009F3939" w:rsidRDefault="009F3939" w:rsidP="00294C3F">
            <w:pPr>
              <w:jc w:val="center"/>
              <w:rPr>
                <w:rFonts w:ascii="Comic Sans MS" w:hAnsi="Comic Sans MS"/>
                <w:b/>
                <w:sz w:val="18"/>
                <w:szCs w:val="18"/>
              </w:rPr>
            </w:pPr>
          </w:p>
          <w:p w:rsidR="009F3939" w:rsidRPr="00203B84" w:rsidRDefault="009F3939" w:rsidP="00294C3F">
            <w:pPr>
              <w:jc w:val="center"/>
              <w:rPr>
                <w:rFonts w:ascii="Comic Sans MS" w:hAnsi="Comic Sans MS"/>
                <w:b/>
                <w:sz w:val="18"/>
                <w:szCs w:val="18"/>
              </w:rPr>
            </w:pPr>
            <w:r>
              <w:rPr>
                <w:rFonts w:ascii="Comic Sans MS" w:hAnsi="Comic Sans MS"/>
                <w:b/>
                <w:sz w:val="18"/>
                <w:szCs w:val="18"/>
              </w:rPr>
              <w:t>492221</w:t>
            </w:r>
          </w:p>
        </w:tc>
        <w:tc>
          <w:tcPr>
            <w:tcW w:w="1134" w:type="dxa"/>
          </w:tcPr>
          <w:p w:rsidR="009F3939" w:rsidRDefault="009F3939" w:rsidP="00294C3F">
            <w:pPr>
              <w:jc w:val="center"/>
              <w:rPr>
                <w:rFonts w:ascii="Comic Sans MS" w:hAnsi="Comic Sans MS"/>
                <w:b/>
                <w:sz w:val="18"/>
                <w:szCs w:val="18"/>
              </w:rPr>
            </w:pPr>
          </w:p>
          <w:p w:rsidR="009F3939" w:rsidRPr="00203B84" w:rsidRDefault="009F3939" w:rsidP="00294C3F">
            <w:pPr>
              <w:jc w:val="center"/>
              <w:rPr>
                <w:rFonts w:ascii="Comic Sans MS" w:hAnsi="Comic Sans MS"/>
                <w:b/>
                <w:sz w:val="18"/>
                <w:szCs w:val="18"/>
              </w:rPr>
            </w:pPr>
            <w:r>
              <w:rPr>
                <w:rFonts w:ascii="Comic Sans MS" w:hAnsi="Comic Sans MS"/>
                <w:b/>
                <w:sz w:val="18"/>
                <w:szCs w:val="18"/>
              </w:rPr>
              <w:t>492221</w:t>
            </w:r>
          </w:p>
        </w:tc>
        <w:tc>
          <w:tcPr>
            <w:tcW w:w="4394" w:type="dxa"/>
          </w:tcPr>
          <w:p w:rsidR="009F3939" w:rsidRDefault="009F3939" w:rsidP="00294C3F">
            <w:pPr>
              <w:rPr>
                <w:rFonts w:ascii="Comic Sans MS" w:hAnsi="Comic Sans MS"/>
                <w:b/>
                <w:sz w:val="18"/>
                <w:szCs w:val="18"/>
              </w:rPr>
            </w:pPr>
          </w:p>
          <w:p w:rsidR="009F3939" w:rsidRPr="00203B84" w:rsidRDefault="009F3939" w:rsidP="00294C3F">
            <w:pPr>
              <w:rPr>
                <w:rFonts w:ascii="Comic Sans MS" w:hAnsi="Comic Sans MS"/>
                <w:b/>
                <w:sz w:val="18"/>
                <w:szCs w:val="18"/>
              </w:rPr>
            </w:pPr>
            <w:r>
              <w:rPr>
                <w:rFonts w:ascii="Comic Sans MS" w:hAnsi="Comic Sans MS"/>
                <w:b/>
                <w:sz w:val="18"/>
                <w:szCs w:val="18"/>
              </w:rPr>
              <w:t>Servicio de transporte automotor de cereales</w:t>
            </w:r>
          </w:p>
        </w:tc>
        <w:tc>
          <w:tcPr>
            <w:tcW w:w="1559" w:type="dxa"/>
            <w:vMerge w:val="restart"/>
          </w:tcPr>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r>
              <w:rPr>
                <w:rFonts w:ascii="Comic Sans MS" w:hAnsi="Comic Sans MS"/>
                <w:b/>
                <w:sz w:val="18"/>
                <w:szCs w:val="18"/>
              </w:rPr>
              <w:t>1,50%</w:t>
            </w:r>
          </w:p>
          <w:p w:rsidR="00886435" w:rsidRDefault="00886435" w:rsidP="00E924A9">
            <w:pPr>
              <w:jc w:val="center"/>
              <w:rPr>
                <w:rFonts w:ascii="Comic Sans MS" w:hAnsi="Comic Sans MS"/>
                <w:b/>
                <w:sz w:val="18"/>
                <w:szCs w:val="18"/>
              </w:rPr>
            </w:pPr>
            <w:r>
              <w:rPr>
                <w:rFonts w:ascii="Comic Sans MS" w:hAnsi="Comic Sans MS"/>
                <w:b/>
                <w:sz w:val="18"/>
                <w:szCs w:val="18"/>
              </w:rPr>
              <w:t>o</w:t>
            </w:r>
          </w:p>
          <w:p w:rsidR="00886435" w:rsidRDefault="00886435" w:rsidP="00E924A9">
            <w:pPr>
              <w:jc w:val="center"/>
              <w:rPr>
                <w:rFonts w:ascii="Comic Sans MS" w:hAnsi="Comic Sans MS"/>
                <w:b/>
                <w:sz w:val="18"/>
                <w:szCs w:val="18"/>
              </w:rPr>
            </w:pPr>
            <w:r>
              <w:rPr>
                <w:rFonts w:ascii="Comic Sans MS" w:hAnsi="Comic Sans MS"/>
                <w:b/>
                <w:sz w:val="18"/>
                <w:szCs w:val="18"/>
              </w:rPr>
              <w:t>1.05%</w:t>
            </w:r>
          </w:p>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p>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7F6C8D">
            <w:pPr>
              <w:rPr>
                <w:rFonts w:ascii="Comic Sans MS" w:hAnsi="Comic Sans MS"/>
                <w:b/>
                <w:sz w:val="18"/>
                <w:szCs w:val="18"/>
              </w:rPr>
            </w:pPr>
          </w:p>
        </w:tc>
      </w:tr>
      <w:tr w:rsidR="009F3939" w:rsidRPr="00203B84" w:rsidTr="00AF5E80">
        <w:trPr>
          <w:trHeight w:val="652"/>
        </w:trPr>
        <w:tc>
          <w:tcPr>
            <w:tcW w:w="1101" w:type="dxa"/>
          </w:tcPr>
          <w:p w:rsidR="009F3939" w:rsidRDefault="009F3939" w:rsidP="00AA498C">
            <w:pPr>
              <w:jc w:val="center"/>
              <w:rPr>
                <w:rFonts w:ascii="Comic Sans MS" w:hAnsi="Comic Sans MS"/>
                <w:b/>
                <w:sz w:val="18"/>
                <w:szCs w:val="18"/>
              </w:rPr>
            </w:pPr>
          </w:p>
          <w:p w:rsidR="009F3939" w:rsidRPr="00203B84" w:rsidRDefault="009F3939" w:rsidP="00AA498C">
            <w:pPr>
              <w:jc w:val="center"/>
              <w:rPr>
                <w:rFonts w:ascii="Comic Sans MS" w:hAnsi="Comic Sans MS"/>
                <w:b/>
                <w:sz w:val="18"/>
                <w:szCs w:val="18"/>
              </w:rPr>
            </w:pPr>
            <w:r>
              <w:rPr>
                <w:rFonts w:ascii="Comic Sans MS" w:hAnsi="Comic Sans MS"/>
                <w:b/>
                <w:sz w:val="18"/>
                <w:szCs w:val="18"/>
              </w:rPr>
              <w:t>492229</w:t>
            </w:r>
          </w:p>
        </w:tc>
        <w:tc>
          <w:tcPr>
            <w:tcW w:w="1134" w:type="dxa"/>
          </w:tcPr>
          <w:p w:rsidR="009F3939" w:rsidRDefault="009F3939" w:rsidP="00AA498C">
            <w:pPr>
              <w:jc w:val="center"/>
              <w:rPr>
                <w:rFonts w:ascii="Comic Sans MS" w:hAnsi="Comic Sans MS"/>
                <w:b/>
                <w:sz w:val="18"/>
                <w:szCs w:val="18"/>
              </w:rPr>
            </w:pPr>
          </w:p>
          <w:p w:rsidR="009F3939" w:rsidRPr="00203B84" w:rsidRDefault="009F3939" w:rsidP="00AA498C">
            <w:pPr>
              <w:jc w:val="center"/>
              <w:rPr>
                <w:rFonts w:ascii="Comic Sans MS" w:hAnsi="Comic Sans MS"/>
                <w:b/>
                <w:sz w:val="18"/>
                <w:szCs w:val="18"/>
              </w:rPr>
            </w:pPr>
            <w:r>
              <w:rPr>
                <w:rFonts w:ascii="Comic Sans MS" w:hAnsi="Comic Sans MS"/>
                <w:b/>
                <w:sz w:val="18"/>
                <w:szCs w:val="18"/>
              </w:rPr>
              <w:t>492229</w:t>
            </w:r>
          </w:p>
          <w:p w:rsidR="009F3939" w:rsidRPr="00203B84" w:rsidRDefault="009F3939" w:rsidP="00AA498C">
            <w:pPr>
              <w:jc w:val="center"/>
              <w:rPr>
                <w:rFonts w:ascii="Comic Sans MS" w:hAnsi="Comic Sans MS"/>
                <w:b/>
                <w:sz w:val="18"/>
                <w:szCs w:val="18"/>
              </w:rPr>
            </w:pPr>
          </w:p>
        </w:tc>
        <w:tc>
          <w:tcPr>
            <w:tcW w:w="4394" w:type="dxa"/>
          </w:tcPr>
          <w:p w:rsidR="009F3939" w:rsidRPr="00203B84" w:rsidRDefault="009F3939" w:rsidP="00AA498C">
            <w:pPr>
              <w:rPr>
                <w:rFonts w:ascii="Comic Sans MS" w:hAnsi="Comic Sans MS"/>
                <w:b/>
                <w:sz w:val="18"/>
                <w:szCs w:val="18"/>
              </w:rPr>
            </w:pPr>
            <w:r w:rsidRPr="00203B84">
              <w:rPr>
                <w:rFonts w:ascii="Comic Sans MS" w:hAnsi="Comic Sans MS"/>
                <w:b/>
                <w:sz w:val="18"/>
                <w:szCs w:val="18"/>
              </w:rPr>
              <w:t>Transporte terrestre automotor de</w:t>
            </w:r>
            <w:r>
              <w:rPr>
                <w:rFonts w:ascii="Comic Sans MS" w:hAnsi="Comic Sans MS"/>
                <w:b/>
                <w:sz w:val="18"/>
                <w:szCs w:val="18"/>
              </w:rPr>
              <w:t xml:space="preserve"> mercaderías a granel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7F6C8D">
            <w:pPr>
              <w:rPr>
                <w:rFonts w:ascii="Comic Sans MS" w:hAnsi="Comic Sans MS"/>
                <w:b/>
                <w:sz w:val="18"/>
                <w:szCs w:val="18"/>
              </w:rPr>
            </w:pPr>
          </w:p>
        </w:tc>
      </w:tr>
      <w:tr w:rsidR="009F3939" w:rsidRPr="00203B84" w:rsidTr="00DB5BBD">
        <w:trPr>
          <w:trHeight w:val="450"/>
        </w:trPr>
        <w:tc>
          <w:tcPr>
            <w:tcW w:w="1101" w:type="dxa"/>
            <w:tcBorders>
              <w:bottom w:val="single" w:sz="4" w:space="0" w:color="auto"/>
            </w:tcBorders>
          </w:tcPr>
          <w:p w:rsidR="009F3939" w:rsidRPr="00203B84" w:rsidRDefault="009F3939" w:rsidP="00203B84">
            <w:pPr>
              <w:jc w:val="center"/>
              <w:rPr>
                <w:rFonts w:ascii="Comic Sans MS" w:hAnsi="Comic Sans MS"/>
                <w:b/>
                <w:sz w:val="18"/>
                <w:szCs w:val="18"/>
              </w:rPr>
            </w:pPr>
            <w:r>
              <w:rPr>
                <w:rFonts w:ascii="Comic Sans MS" w:hAnsi="Comic Sans MS"/>
                <w:b/>
                <w:sz w:val="18"/>
                <w:szCs w:val="18"/>
              </w:rPr>
              <w:t>492230</w:t>
            </w:r>
          </w:p>
        </w:tc>
        <w:tc>
          <w:tcPr>
            <w:tcW w:w="1134" w:type="dxa"/>
            <w:tcBorders>
              <w:bottom w:val="single" w:sz="4" w:space="0" w:color="auto"/>
            </w:tcBorders>
          </w:tcPr>
          <w:p w:rsidR="009F3939" w:rsidRPr="00203B84" w:rsidRDefault="009F3939" w:rsidP="007F6C8D">
            <w:pPr>
              <w:jc w:val="center"/>
              <w:rPr>
                <w:rFonts w:ascii="Comic Sans MS" w:hAnsi="Comic Sans MS"/>
                <w:b/>
                <w:sz w:val="18"/>
                <w:szCs w:val="18"/>
              </w:rPr>
            </w:pPr>
            <w:r>
              <w:rPr>
                <w:rFonts w:ascii="Comic Sans MS" w:hAnsi="Comic Sans MS"/>
                <w:b/>
                <w:sz w:val="18"/>
                <w:szCs w:val="18"/>
              </w:rPr>
              <w:t>492230</w:t>
            </w:r>
          </w:p>
        </w:tc>
        <w:tc>
          <w:tcPr>
            <w:tcW w:w="4394" w:type="dxa"/>
            <w:tcBorders>
              <w:bottom w:val="single" w:sz="4" w:space="0" w:color="auto"/>
            </w:tcBorders>
          </w:tcPr>
          <w:p w:rsidR="009F3939" w:rsidRPr="00203B84" w:rsidRDefault="009F3939" w:rsidP="00E01174">
            <w:pPr>
              <w:rPr>
                <w:rFonts w:ascii="Comic Sans MS" w:hAnsi="Comic Sans MS"/>
                <w:b/>
                <w:sz w:val="18"/>
                <w:szCs w:val="18"/>
              </w:rPr>
            </w:pPr>
            <w:r>
              <w:rPr>
                <w:rFonts w:ascii="Comic Sans MS" w:hAnsi="Comic Sans MS"/>
                <w:b/>
                <w:sz w:val="18"/>
                <w:szCs w:val="18"/>
              </w:rPr>
              <w:t>Servicio de transporte automotor de animales.</w:t>
            </w: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7F6C8D">
            <w:pPr>
              <w:rPr>
                <w:rFonts w:ascii="Comic Sans MS" w:hAnsi="Comic Sans MS"/>
                <w:b/>
                <w:sz w:val="18"/>
                <w:szCs w:val="18"/>
              </w:rPr>
            </w:pPr>
          </w:p>
        </w:tc>
      </w:tr>
      <w:tr w:rsidR="009F3939" w:rsidRPr="00203B84" w:rsidTr="00292856">
        <w:trPr>
          <w:trHeight w:val="478"/>
        </w:trPr>
        <w:tc>
          <w:tcPr>
            <w:tcW w:w="1101" w:type="dxa"/>
          </w:tcPr>
          <w:p w:rsidR="009F3939" w:rsidRPr="00203B84" w:rsidRDefault="009F3939" w:rsidP="00203B84">
            <w:pPr>
              <w:jc w:val="center"/>
              <w:rPr>
                <w:rFonts w:ascii="Comic Sans MS" w:hAnsi="Comic Sans MS"/>
                <w:b/>
                <w:sz w:val="18"/>
                <w:szCs w:val="18"/>
              </w:rPr>
            </w:pPr>
            <w:r>
              <w:rPr>
                <w:rFonts w:ascii="Comic Sans MS" w:hAnsi="Comic Sans MS"/>
                <w:b/>
                <w:sz w:val="18"/>
                <w:szCs w:val="18"/>
              </w:rPr>
              <w:t>492240</w:t>
            </w:r>
          </w:p>
        </w:tc>
        <w:tc>
          <w:tcPr>
            <w:tcW w:w="1134" w:type="dxa"/>
          </w:tcPr>
          <w:p w:rsidR="009F3939" w:rsidRPr="00203B84" w:rsidRDefault="009F3939" w:rsidP="007F6C8D">
            <w:pPr>
              <w:jc w:val="center"/>
              <w:rPr>
                <w:rFonts w:ascii="Comic Sans MS" w:hAnsi="Comic Sans MS"/>
                <w:b/>
                <w:sz w:val="18"/>
                <w:szCs w:val="18"/>
              </w:rPr>
            </w:pPr>
            <w:r>
              <w:rPr>
                <w:rFonts w:ascii="Comic Sans MS" w:hAnsi="Comic Sans MS"/>
                <w:b/>
                <w:sz w:val="18"/>
                <w:szCs w:val="18"/>
              </w:rPr>
              <w:t>492240</w:t>
            </w:r>
          </w:p>
        </w:tc>
        <w:tc>
          <w:tcPr>
            <w:tcW w:w="4394" w:type="dxa"/>
          </w:tcPr>
          <w:p w:rsidR="009F3939" w:rsidRPr="00203B84" w:rsidRDefault="009F3939" w:rsidP="00E01174">
            <w:pPr>
              <w:rPr>
                <w:rFonts w:ascii="Comic Sans MS" w:hAnsi="Comic Sans MS"/>
                <w:b/>
                <w:sz w:val="18"/>
                <w:szCs w:val="18"/>
              </w:rPr>
            </w:pPr>
            <w:r>
              <w:rPr>
                <w:rFonts w:ascii="Comic Sans MS" w:hAnsi="Comic Sans MS"/>
                <w:b/>
                <w:sz w:val="18"/>
                <w:szCs w:val="18"/>
              </w:rPr>
              <w:t>Servicio de transporte por camión cisterna.</w:t>
            </w:r>
          </w:p>
          <w:p w:rsidR="009F3939" w:rsidRPr="00203B84" w:rsidRDefault="009F3939" w:rsidP="00E01174">
            <w:pPr>
              <w:rPr>
                <w:rFonts w:ascii="Comic Sans MS" w:hAnsi="Comic Sans MS"/>
                <w:b/>
                <w:sz w:val="18"/>
                <w:szCs w:val="18"/>
              </w:rPr>
            </w:pP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7F6C8D">
            <w:pPr>
              <w:rPr>
                <w:rFonts w:ascii="Comic Sans MS" w:hAnsi="Comic Sans MS"/>
                <w:b/>
                <w:sz w:val="18"/>
                <w:szCs w:val="18"/>
              </w:rPr>
            </w:pPr>
          </w:p>
        </w:tc>
      </w:tr>
      <w:tr w:rsidR="009F3939" w:rsidRPr="00203B84" w:rsidTr="00294C3F">
        <w:trPr>
          <w:trHeight w:val="540"/>
        </w:trPr>
        <w:tc>
          <w:tcPr>
            <w:tcW w:w="1101" w:type="dxa"/>
          </w:tcPr>
          <w:p w:rsidR="009F3939" w:rsidRPr="00203B84" w:rsidRDefault="009F3939" w:rsidP="002E19FB">
            <w:pPr>
              <w:jc w:val="center"/>
              <w:rPr>
                <w:rFonts w:ascii="Comic Sans MS" w:hAnsi="Comic Sans MS"/>
                <w:b/>
                <w:sz w:val="18"/>
                <w:szCs w:val="18"/>
              </w:rPr>
            </w:pPr>
            <w:r>
              <w:rPr>
                <w:rFonts w:ascii="Comic Sans MS" w:hAnsi="Comic Sans MS"/>
                <w:b/>
                <w:sz w:val="18"/>
                <w:szCs w:val="18"/>
              </w:rPr>
              <w:t>492250</w:t>
            </w:r>
          </w:p>
        </w:tc>
        <w:tc>
          <w:tcPr>
            <w:tcW w:w="1134" w:type="dxa"/>
          </w:tcPr>
          <w:p w:rsidR="009F3939" w:rsidRPr="00203B84" w:rsidRDefault="009F3939" w:rsidP="002E19FB">
            <w:pPr>
              <w:jc w:val="center"/>
              <w:rPr>
                <w:rFonts w:ascii="Comic Sans MS" w:hAnsi="Comic Sans MS"/>
                <w:b/>
                <w:sz w:val="18"/>
                <w:szCs w:val="18"/>
              </w:rPr>
            </w:pPr>
            <w:r>
              <w:rPr>
                <w:rFonts w:ascii="Comic Sans MS" w:hAnsi="Comic Sans MS"/>
                <w:b/>
                <w:sz w:val="18"/>
                <w:szCs w:val="18"/>
              </w:rPr>
              <w:t>492250</w:t>
            </w:r>
          </w:p>
        </w:tc>
        <w:tc>
          <w:tcPr>
            <w:tcW w:w="4394" w:type="dxa"/>
          </w:tcPr>
          <w:p w:rsidR="009F3939" w:rsidRPr="00203B84" w:rsidRDefault="009F3939" w:rsidP="002E19FB">
            <w:pPr>
              <w:rPr>
                <w:rFonts w:ascii="Comic Sans MS" w:hAnsi="Comic Sans MS"/>
                <w:b/>
                <w:sz w:val="18"/>
                <w:szCs w:val="18"/>
              </w:rPr>
            </w:pPr>
            <w:r w:rsidRPr="00203B84">
              <w:rPr>
                <w:rFonts w:ascii="Comic Sans MS" w:hAnsi="Comic Sans MS"/>
                <w:b/>
                <w:sz w:val="18"/>
                <w:szCs w:val="18"/>
              </w:rPr>
              <w:t>Transporte terrestre automotor de</w:t>
            </w:r>
            <w:r>
              <w:rPr>
                <w:rFonts w:ascii="Comic Sans MS" w:hAnsi="Comic Sans MS"/>
                <w:b/>
                <w:sz w:val="18"/>
                <w:szCs w:val="18"/>
              </w:rPr>
              <w:t xml:space="preserve"> mercaderías y sustancias peligrosas.</w:t>
            </w: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2E19FB">
            <w:pPr>
              <w:rPr>
                <w:rFonts w:ascii="Comic Sans MS" w:hAnsi="Comic Sans MS"/>
                <w:b/>
                <w:sz w:val="18"/>
                <w:szCs w:val="18"/>
              </w:rPr>
            </w:pPr>
          </w:p>
        </w:tc>
      </w:tr>
      <w:tr w:rsidR="009F3939" w:rsidRPr="00203B84" w:rsidTr="00E37684">
        <w:trPr>
          <w:trHeight w:val="500"/>
        </w:trPr>
        <w:tc>
          <w:tcPr>
            <w:tcW w:w="1101" w:type="dxa"/>
          </w:tcPr>
          <w:p w:rsidR="009F3939" w:rsidRPr="00203B84" w:rsidRDefault="009F3939" w:rsidP="002E19FB">
            <w:pPr>
              <w:jc w:val="center"/>
              <w:rPr>
                <w:rFonts w:ascii="Comic Sans MS" w:hAnsi="Comic Sans MS"/>
                <w:b/>
                <w:sz w:val="18"/>
                <w:szCs w:val="18"/>
              </w:rPr>
            </w:pPr>
            <w:r>
              <w:rPr>
                <w:rFonts w:ascii="Comic Sans MS" w:hAnsi="Comic Sans MS"/>
                <w:b/>
                <w:sz w:val="18"/>
                <w:szCs w:val="18"/>
              </w:rPr>
              <w:t>492280</w:t>
            </w:r>
          </w:p>
        </w:tc>
        <w:tc>
          <w:tcPr>
            <w:tcW w:w="1134" w:type="dxa"/>
          </w:tcPr>
          <w:p w:rsidR="009F3939" w:rsidRPr="00203B84" w:rsidRDefault="009F3939" w:rsidP="002E19FB">
            <w:pPr>
              <w:jc w:val="center"/>
              <w:rPr>
                <w:rFonts w:ascii="Comic Sans MS" w:hAnsi="Comic Sans MS"/>
                <w:b/>
                <w:sz w:val="18"/>
                <w:szCs w:val="18"/>
              </w:rPr>
            </w:pPr>
            <w:r>
              <w:rPr>
                <w:rFonts w:ascii="Comic Sans MS" w:hAnsi="Comic Sans MS"/>
                <w:b/>
                <w:sz w:val="18"/>
                <w:szCs w:val="18"/>
              </w:rPr>
              <w:t>492280</w:t>
            </w:r>
          </w:p>
        </w:tc>
        <w:tc>
          <w:tcPr>
            <w:tcW w:w="4394" w:type="dxa"/>
          </w:tcPr>
          <w:p w:rsidR="009F3939" w:rsidRPr="00203B84" w:rsidRDefault="009F3939" w:rsidP="002E19FB">
            <w:pPr>
              <w:rPr>
                <w:rFonts w:ascii="Comic Sans MS" w:hAnsi="Comic Sans MS"/>
                <w:b/>
                <w:sz w:val="18"/>
                <w:szCs w:val="18"/>
              </w:rPr>
            </w:pPr>
            <w:r>
              <w:rPr>
                <w:rFonts w:ascii="Comic Sans MS" w:hAnsi="Comic Sans MS"/>
                <w:b/>
                <w:sz w:val="18"/>
                <w:szCs w:val="18"/>
              </w:rPr>
              <w:t xml:space="preserve">Servicio de transporte automotor urbano de cargas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2E19FB">
            <w:pPr>
              <w:rPr>
                <w:rFonts w:ascii="Comic Sans MS" w:hAnsi="Comic Sans MS"/>
                <w:b/>
                <w:sz w:val="18"/>
                <w:szCs w:val="18"/>
              </w:rPr>
            </w:pPr>
          </w:p>
        </w:tc>
      </w:tr>
      <w:tr w:rsidR="009F3939" w:rsidRPr="00203B84" w:rsidTr="00294C3F">
        <w:trPr>
          <w:trHeight w:val="557"/>
        </w:trPr>
        <w:tc>
          <w:tcPr>
            <w:tcW w:w="1101" w:type="dxa"/>
          </w:tcPr>
          <w:p w:rsidR="009F3939" w:rsidRPr="00203B84" w:rsidRDefault="009F3939" w:rsidP="002E19FB">
            <w:pPr>
              <w:jc w:val="center"/>
              <w:rPr>
                <w:rFonts w:ascii="Comic Sans MS" w:hAnsi="Comic Sans MS"/>
                <w:b/>
                <w:sz w:val="18"/>
                <w:szCs w:val="18"/>
              </w:rPr>
            </w:pPr>
          </w:p>
          <w:p w:rsidR="009F3939" w:rsidRPr="00203B84" w:rsidRDefault="009F3939" w:rsidP="002E19FB">
            <w:pPr>
              <w:jc w:val="center"/>
              <w:rPr>
                <w:rFonts w:ascii="Comic Sans MS" w:hAnsi="Comic Sans MS"/>
                <w:b/>
                <w:sz w:val="18"/>
                <w:szCs w:val="18"/>
              </w:rPr>
            </w:pPr>
            <w:r>
              <w:rPr>
                <w:rFonts w:ascii="Comic Sans MS" w:hAnsi="Comic Sans MS"/>
                <w:b/>
                <w:sz w:val="18"/>
                <w:szCs w:val="18"/>
              </w:rPr>
              <w:t>492291</w:t>
            </w:r>
          </w:p>
        </w:tc>
        <w:tc>
          <w:tcPr>
            <w:tcW w:w="1134" w:type="dxa"/>
          </w:tcPr>
          <w:p w:rsidR="009F3939" w:rsidRPr="00203B84" w:rsidRDefault="009F3939" w:rsidP="002E19FB">
            <w:pPr>
              <w:jc w:val="center"/>
              <w:rPr>
                <w:rFonts w:ascii="Comic Sans MS" w:hAnsi="Comic Sans MS"/>
                <w:b/>
                <w:sz w:val="18"/>
                <w:szCs w:val="18"/>
              </w:rPr>
            </w:pPr>
          </w:p>
          <w:p w:rsidR="009F3939" w:rsidRPr="00203B84" w:rsidRDefault="009F3939" w:rsidP="002E19FB">
            <w:pPr>
              <w:jc w:val="center"/>
              <w:rPr>
                <w:rFonts w:ascii="Comic Sans MS" w:hAnsi="Comic Sans MS"/>
                <w:b/>
                <w:sz w:val="18"/>
                <w:szCs w:val="18"/>
              </w:rPr>
            </w:pPr>
            <w:r>
              <w:rPr>
                <w:rFonts w:ascii="Comic Sans MS" w:hAnsi="Comic Sans MS"/>
                <w:b/>
                <w:sz w:val="18"/>
                <w:szCs w:val="18"/>
              </w:rPr>
              <w:t>492291</w:t>
            </w:r>
          </w:p>
        </w:tc>
        <w:tc>
          <w:tcPr>
            <w:tcW w:w="4394" w:type="dxa"/>
          </w:tcPr>
          <w:p w:rsidR="009F3939" w:rsidRPr="00203B84" w:rsidRDefault="009F3939" w:rsidP="002E19FB">
            <w:pPr>
              <w:rPr>
                <w:rFonts w:ascii="Comic Sans MS" w:hAnsi="Comic Sans MS"/>
                <w:b/>
                <w:sz w:val="18"/>
                <w:szCs w:val="18"/>
              </w:rPr>
            </w:pPr>
          </w:p>
          <w:p w:rsidR="009F3939" w:rsidRPr="00203B84" w:rsidRDefault="009F3939" w:rsidP="002E19FB">
            <w:pPr>
              <w:rPr>
                <w:rFonts w:ascii="Comic Sans MS" w:hAnsi="Comic Sans MS"/>
                <w:b/>
                <w:sz w:val="18"/>
                <w:szCs w:val="18"/>
              </w:rPr>
            </w:pPr>
            <w:r w:rsidRPr="00203B84">
              <w:rPr>
                <w:rFonts w:ascii="Comic Sans MS" w:hAnsi="Comic Sans MS"/>
                <w:b/>
                <w:sz w:val="18"/>
                <w:szCs w:val="18"/>
              </w:rPr>
              <w:t xml:space="preserve">Servicio de transporte </w:t>
            </w:r>
            <w:r>
              <w:rPr>
                <w:rFonts w:ascii="Comic Sans MS" w:hAnsi="Comic Sans MS"/>
                <w:b/>
                <w:sz w:val="18"/>
                <w:szCs w:val="18"/>
              </w:rPr>
              <w:t>automotor de petróleo y gas.</w:t>
            </w: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2E19FB">
            <w:pPr>
              <w:rPr>
                <w:rFonts w:ascii="Comic Sans MS" w:hAnsi="Comic Sans MS"/>
                <w:b/>
                <w:sz w:val="18"/>
                <w:szCs w:val="18"/>
              </w:rPr>
            </w:pPr>
          </w:p>
        </w:tc>
      </w:tr>
      <w:tr w:rsidR="009F3939" w:rsidRPr="00203B84" w:rsidTr="00294C3F">
        <w:trPr>
          <w:trHeight w:val="557"/>
        </w:trPr>
        <w:tc>
          <w:tcPr>
            <w:tcW w:w="1101" w:type="dxa"/>
          </w:tcPr>
          <w:p w:rsidR="009F3939" w:rsidRPr="00203B84" w:rsidRDefault="009F3939" w:rsidP="00E37684">
            <w:pPr>
              <w:jc w:val="center"/>
              <w:rPr>
                <w:rFonts w:ascii="Comic Sans MS" w:hAnsi="Comic Sans MS"/>
                <w:b/>
                <w:sz w:val="18"/>
                <w:szCs w:val="18"/>
              </w:rPr>
            </w:pPr>
            <w:r>
              <w:rPr>
                <w:rFonts w:ascii="Comic Sans MS" w:hAnsi="Comic Sans MS"/>
                <w:b/>
                <w:sz w:val="18"/>
                <w:szCs w:val="18"/>
              </w:rPr>
              <w:t>492299</w:t>
            </w:r>
          </w:p>
        </w:tc>
        <w:tc>
          <w:tcPr>
            <w:tcW w:w="1134" w:type="dxa"/>
          </w:tcPr>
          <w:p w:rsidR="009F3939" w:rsidRPr="00203B84" w:rsidRDefault="009F3939" w:rsidP="00E37684">
            <w:pPr>
              <w:jc w:val="center"/>
              <w:rPr>
                <w:rFonts w:ascii="Comic Sans MS" w:hAnsi="Comic Sans MS"/>
                <w:b/>
                <w:sz w:val="18"/>
                <w:szCs w:val="18"/>
              </w:rPr>
            </w:pPr>
            <w:r>
              <w:rPr>
                <w:rFonts w:ascii="Comic Sans MS" w:hAnsi="Comic Sans MS"/>
                <w:b/>
                <w:sz w:val="18"/>
                <w:szCs w:val="18"/>
              </w:rPr>
              <w:t>492299</w:t>
            </w:r>
          </w:p>
        </w:tc>
        <w:tc>
          <w:tcPr>
            <w:tcW w:w="4394" w:type="dxa"/>
          </w:tcPr>
          <w:p w:rsidR="009F3939" w:rsidRPr="00203B84" w:rsidRDefault="009F3939" w:rsidP="00E37684">
            <w:pPr>
              <w:rPr>
                <w:rFonts w:ascii="Comic Sans MS" w:hAnsi="Comic Sans MS"/>
                <w:b/>
                <w:sz w:val="18"/>
                <w:szCs w:val="18"/>
              </w:rPr>
            </w:pPr>
            <w:r>
              <w:rPr>
                <w:rFonts w:ascii="Comic Sans MS" w:hAnsi="Comic Sans MS"/>
                <w:b/>
                <w:sz w:val="18"/>
                <w:szCs w:val="18"/>
              </w:rPr>
              <w:t xml:space="preserve">Servicio de transporte automotor de cargas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9F3939" w:rsidRPr="00203B84" w:rsidRDefault="009F3939" w:rsidP="00E924A9">
            <w:pPr>
              <w:jc w:val="center"/>
              <w:rPr>
                <w:rFonts w:ascii="Comic Sans MS" w:hAnsi="Comic Sans MS"/>
                <w:b/>
                <w:sz w:val="18"/>
                <w:szCs w:val="18"/>
              </w:rPr>
            </w:pPr>
          </w:p>
        </w:tc>
        <w:tc>
          <w:tcPr>
            <w:tcW w:w="2835" w:type="dxa"/>
            <w:vMerge/>
          </w:tcPr>
          <w:p w:rsidR="009F3939" w:rsidRPr="00203B84" w:rsidRDefault="009F3939" w:rsidP="00E37684">
            <w:pPr>
              <w:rPr>
                <w:rFonts w:ascii="Comic Sans MS" w:hAnsi="Comic Sans MS"/>
                <w:b/>
                <w:sz w:val="18"/>
                <w:szCs w:val="18"/>
              </w:rPr>
            </w:pPr>
          </w:p>
        </w:tc>
      </w:tr>
      <w:tr w:rsidR="009F3939" w:rsidRPr="00203B84" w:rsidTr="00AF5E80">
        <w:trPr>
          <w:trHeight w:val="498"/>
        </w:trPr>
        <w:tc>
          <w:tcPr>
            <w:tcW w:w="1101"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521010</w:t>
            </w:r>
          </w:p>
        </w:tc>
        <w:tc>
          <w:tcPr>
            <w:tcW w:w="1134"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521010</w:t>
            </w:r>
          </w:p>
        </w:tc>
        <w:tc>
          <w:tcPr>
            <w:tcW w:w="4394" w:type="dxa"/>
          </w:tcPr>
          <w:p w:rsidR="009F3939" w:rsidRPr="00203B84" w:rsidRDefault="009F3939" w:rsidP="009D08B4">
            <w:pPr>
              <w:rPr>
                <w:rFonts w:ascii="Comic Sans MS" w:hAnsi="Comic Sans MS"/>
                <w:b/>
                <w:sz w:val="18"/>
                <w:szCs w:val="18"/>
              </w:rPr>
            </w:pPr>
            <w:r>
              <w:rPr>
                <w:rFonts w:ascii="Comic Sans MS" w:hAnsi="Comic Sans MS"/>
                <w:b/>
                <w:sz w:val="18"/>
                <w:szCs w:val="18"/>
              </w:rPr>
              <w:t>Servicio de manipulación de carga en el ámbito terrestre</w:t>
            </w:r>
          </w:p>
        </w:tc>
        <w:tc>
          <w:tcPr>
            <w:tcW w:w="1559" w:type="dxa"/>
          </w:tcPr>
          <w:p w:rsidR="009F3939" w:rsidRDefault="009F3939" w:rsidP="00E924A9">
            <w:pPr>
              <w:jc w:val="center"/>
              <w:rPr>
                <w:rFonts w:ascii="Comic Sans MS" w:hAnsi="Comic Sans MS"/>
                <w:b/>
                <w:sz w:val="18"/>
                <w:szCs w:val="18"/>
              </w:rPr>
            </w:pPr>
            <w:r>
              <w:rPr>
                <w:rFonts w:ascii="Comic Sans MS" w:hAnsi="Comic Sans MS"/>
                <w:b/>
                <w:sz w:val="18"/>
                <w:szCs w:val="18"/>
              </w:rPr>
              <w:t>3,50%</w:t>
            </w:r>
          </w:p>
          <w:p w:rsidR="00886435" w:rsidRPr="00203B84" w:rsidRDefault="00886435" w:rsidP="00E924A9">
            <w:pPr>
              <w:jc w:val="center"/>
              <w:rPr>
                <w:rFonts w:ascii="Comic Sans MS" w:hAnsi="Comic Sans MS"/>
                <w:b/>
                <w:sz w:val="18"/>
                <w:szCs w:val="18"/>
              </w:rPr>
            </w:pPr>
            <w:r>
              <w:rPr>
                <w:rFonts w:ascii="Comic Sans MS" w:hAnsi="Comic Sans MS"/>
                <w:b/>
                <w:sz w:val="18"/>
                <w:szCs w:val="18"/>
              </w:rPr>
              <w:t>o 2,45%</w:t>
            </w:r>
          </w:p>
        </w:tc>
        <w:tc>
          <w:tcPr>
            <w:tcW w:w="2835" w:type="dxa"/>
            <w:vMerge/>
          </w:tcPr>
          <w:p w:rsidR="009F3939" w:rsidRPr="00203B84" w:rsidRDefault="009F3939" w:rsidP="009D08B4">
            <w:pPr>
              <w:rPr>
                <w:rFonts w:ascii="Comic Sans MS" w:hAnsi="Comic Sans MS"/>
                <w:b/>
                <w:sz w:val="18"/>
                <w:szCs w:val="18"/>
              </w:rPr>
            </w:pPr>
          </w:p>
        </w:tc>
      </w:tr>
      <w:tr w:rsidR="00EC7825" w:rsidRPr="00203B84" w:rsidTr="00AF5E80">
        <w:trPr>
          <w:trHeight w:val="479"/>
        </w:trPr>
        <w:tc>
          <w:tcPr>
            <w:tcW w:w="1101"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522010</w:t>
            </w:r>
          </w:p>
        </w:tc>
        <w:tc>
          <w:tcPr>
            <w:tcW w:w="1134"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522010</w:t>
            </w:r>
          </w:p>
        </w:tc>
        <w:tc>
          <w:tcPr>
            <w:tcW w:w="4394" w:type="dxa"/>
          </w:tcPr>
          <w:p w:rsidR="00EC7825" w:rsidRPr="00203B84" w:rsidRDefault="00EC7825" w:rsidP="009D08B4">
            <w:pPr>
              <w:rPr>
                <w:rFonts w:ascii="Comic Sans MS" w:hAnsi="Comic Sans MS"/>
                <w:b/>
                <w:sz w:val="18"/>
                <w:szCs w:val="18"/>
              </w:rPr>
            </w:pPr>
            <w:r>
              <w:rPr>
                <w:rFonts w:ascii="Comic Sans MS" w:hAnsi="Comic Sans MS"/>
                <w:b/>
                <w:sz w:val="18"/>
                <w:szCs w:val="18"/>
              </w:rPr>
              <w:t>Servicio de almacenamiento y depósitos en silos</w:t>
            </w:r>
          </w:p>
        </w:tc>
        <w:tc>
          <w:tcPr>
            <w:tcW w:w="1559" w:type="dxa"/>
            <w:vMerge w:val="restart"/>
          </w:tcPr>
          <w:p w:rsidR="00EC7825" w:rsidRDefault="00EC7825" w:rsidP="00E924A9">
            <w:pPr>
              <w:jc w:val="center"/>
              <w:rPr>
                <w:rFonts w:ascii="Comic Sans MS" w:hAnsi="Comic Sans MS"/>
                <w:b/>
                <w:sz w:val="18"/>
                <w:szCs w:val="18"/>
              </w:rPr>
            </w:pPr>
          </w:p>
          <w:p w:rsidR="00EC7825" w:rsidRDefault="00EC7825" w:rsidP="00E924A9">
            <w:pPr>
              <w:jc w:val="center"/>
              <w:rPr>
                <w:rFonts w:ascii="Comic Sans MS" w:hAnsi="Comic Sans MS"/>
                <w:b/>
                <w:sz w:val="18"/>
                <w:szCs w:val="18"/>
              </w:rPr>
            </w:pPr>
          </w:p>
          <w:p w:rsidR="00EC7825" w:rsidRDefault="00EC7825" w:rsidP="00E924A9">
            <w:pPr>
              <w:jc w:val="center"/>
              <w:rPr>
                <w:rFonts w:ascii="Comic Sans MS" w:hAnsi="Comic Sans MS"/>
                <w:b/>
                <w:sz w:val="18"/>
                <w:szCs w:val="18"/>
              </w:rPr>
            </w:pPr>
          </w:p>
          <w:p w:rsidR="00EC7825" w:rsidRDefault="00EC7825" w:rsidP="00E924A9">
            <w:pPr>
              <w:jc w:val="center"/>
              <w:rPr>
                <w:rFonts w:ascii="Comic Sans MS" w:hAnsi="Comic Sans MS"/>
                <w:b/>
                <w:sz w:val="18"/>
                <w:szCs w:val="18"/>
              </w:rPr>
            </w:pPr>
          </w:p>
          <w:p w:rsidR="00EC7825" w:rsidRDefault="00EC7825" w:rsidP="00AF5E80">
            <w:pPr>
              <w:rPr>
                <w:rFonts w:ascii="Comic Sans MS" w:hAnsi="Comic Sans MS"/>
                <w:b/>
                <w:sz w:val="18"/>
                <w:szCs w:val="18"/>
              </w:rPr>
            </w:pPr>
            <w:r>
              <w:rPr>
                <w:rFonts w:ascii="Comic Sans MS" w:hAnsi="Comic Sans MS"/>
                <w:b/>
                <w:sz w:val="18"/>
                <w:szCs w:val="18"/>
              </w:rPr>
              <w:t xml:space="preserve">    4,00%</w:t>
            </w:r>
          </w:p>
          <w:p w:rsidR="00EC7825" w:rsidRDefault="00886435" w:rsidP="00E924A9">
            <w:pPr>
              <w:jc w:val="center"/>
              <w:rPr>
                <w:rFonts w:ascii="Comic Sans MS" w:hAnsi="Comic Sans MS"/>
                <w:b/>
                <w:sz w:val="18"/>
                <w:szCs w:val="18"/>
              </w:rPr>
            </w:pPr>
            <w:r>
              <w:rPr>
                <w:rFonts w:ascii="Comic Sans MS" w:hAnsi="Comic Sans MS"/>
                <w:b/>
                <w:sz w:val="18"/>
                <w:szCs w:val="18"/>
              </w:rPr>
              <w:t>o</w:t>
            </w:r>
          </w:p>
          <w:p w:rsidR="00886435" w:rsidRDefault="00886435" w:rsidP="00E924A9">
            <w:pPr>
              <w:jc w:val="center"/>
              <w:rPr>
                <w:rFonts w:ascii="Comic Sans MS" w:hAnsi="Comic Sans MS"/>
                <w:b/>
                <w:sz w:val="18"/>
                <w:szCs w:val="18"/>
              </w:rPr>
            </w:pPr>
            <w:r>
              <w:rPr>
                <w:rFonts w:ascii="Comic Sans MS" w:hAnsi="Comic Sans MS"/>
                <w:b/>
                <w:sz w:val="18"/>
                <w:szCs w:val="18"/>
              </w:rPr>
              <w:t>2.80%</w:t>
            </w:r>
          </w:p>
          <w:p w:rsidR="00886435" w:rsidRDefault="00886435" w:rsidP="00886435">
            <w:pPr>
              <w:jc w:val="center"/>
              <w:rPr>
                <w:rFonts w:ascii="Comic Sans MS" w:hAnsi="Comic Sans MS"/>
                <w:b/>
                <w:sz w:val="18"/>
                <w:szCs w:val="18"/>
              </w:rPr>
            </w:pPr>
            <w:r>
              <w:rPr>
                <w:rFonts w:ascii="Comic Sans MS" w:hAnsi="Comic Sans MS"/>
                <w:b/>
                <w:sz w:val="18"/>
                <w:szCs w:val="18"/>
              </w:rPr>
              <w:t>o</w:t>
            </w:r>
          </w:p>
          <w:p w:rsidR="00EC7825" w:rsidRPr="00203B84" w:rsidRDefault="00EC7825" w:rsidP="00E924A9">
            <w:pPr>
              <w:jc w:val="center"/>
              <w:rPr>
                <w:rFonts w:ascii="Comic Sans MS" w:hAnsi="Comic Sans MS"/>
                <w:b/>
                <w:sz w:val="18"/>
                <w:szCs w:val="18"/>
              </w:rPr>
            </w:pPr>
            <w:r>
              <w:rPr>
                <w:rFonts w:ascii="Comic Sans MS" w:hAnsi="Comic Sans MS"/>
                <w:b/>
                <w:sz w:val="18"/>
                <w:szCs w:val="18"/>
              </w:rPr>
              <w:t xml:space="preserve">   4,75% (**)</w:t>
            </w:r>
          </w:p>
        </w:tc>
        <w:tc>
          <w:tcPr>
            <w:tcW w:w="2835" w:type="dxa"/>
            <w:vMerge/>
          </w:tcPr>
          <w:p w:rsidR="00EC7825" w:rsidRPr="00203B84" w:rsidRDefault="00EC7825" w:rsidP="009D08B4">
            <w:pPr>
              <w:rPr>
                <w:rFonts w:ascii="Comic Sans MS" w:hAnsi="Comic Sans MS"/>
                <w:b/>
                <w:sz w:val="18"/>
                <w:szCs w:val="18"/>
              </w:rPr>
            </w:pPr>
          </w:p>
        </w:tc>
      </w:tr>
      <w:tr w:rsidR="00EC7825" w:rsidRPr="00203B84" w:rsidTr="00203B84">
        <w:trPr>
          <w:trHeight w:val="708"/>
        </w:trPr>
        <w:tc>
          <w:tcPr>
            <w:tcW w:w="1101"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522020</w:t>
            </w:r>
          </w:p>
        </w:tc>
        <w:tc>
          <w:tcPr>
            <w:tcW w:w="1134"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522020</w:t>
            </w:r>
          </w:p>
        </w:tc>
        <w:tc>
          <w:tcPr>
            <w:tcW w:w="4394" w:type="dxa"/>
          </w:tcPr>
          <w:p w:rsidR="00EC7825" w:rsidRPr="00203B84" w:rsidRDefault="00EC7825" w:rsidP="009D08B4">
            <w:pPr>
              <w:rPr>
                <w:rFonts w:ascii="Comic Sans MS" w:hAnsi="Comic Sans MS"/>
                <w:b/>
                <w:sz w:val="18"/>
                <w:szCs w:val="18"/>
              </w:rPr>
            </w:pPr>
            <w:r>
              <w:rPr>
                <w:rFonts w:ascii="Comic Sans MS" w:hAnsi="Comic Sans MS"/>
                <w:b/>
                <w:sz w:val="18"/>
                <w:szCs w:val="18"/>
              </w:rPr>
              <w:t>Servicio de almacenamiento y depósitos en cámara frigoríficas.</w:t>
            </w:r>
          </w:p>
        </w:tc>
        <w:tc>
          <w:tcPr>
            <w:tcW w:w="1559" w:type="dxa"/>
            <w:vMerge/>
          </w:tcPr>
          <w:p w:rsidR="00EC7825" w:rsidRPr="00203B84" w:rsidRDefault="00EC7825" w:rsidP="00E924A9">
            <w:pPr>
              <w:jc w:val="center"/>
              <w:rPr>
                <w:rFonts w:ascii="Comic Sans MS" w:hAnsi="Comic Sans MS"/>
                <w:b/>
                <w:sz w:val="18"/>
                <w:szCs w:val="18"/>
              </w:rPr>
            </w:pPr>
          </w:p>
        </w:tc>
        <w:tc>
          <w:tcPr>
            <w:tcW w:w="2835" w:type="dxa"/>
            <w:vMerge/>
          </w:tcPr>
          <w:p w:rsidR="00EC7825" w:rsidRPr="00203B84" w:rsidRDefault="00EC7825" w:rsidP="009D08B4">
            <w:pPr>
              <w:rPr>
                <w:rFonts w:ascii="Comic Sans MS" w:hAnsi="Comic Sans MS"/>
                <w:b/>
                <w:sz w:val="18"/>
                <w:szCs w:val="18"/>
              </w:rPr>
            </w:pPr>
          </w:p>
        </w:tc>
      </w:tr>
      <w:tr w:rsidR="00EC7825" w:rsidRPr="00203B84" w:rsidTr="00AF5E80">
        <w:trPr>
          <w:trHeight w:val="458"/>
        </w:trPr>
        <w:tc>
          <w:tcPr>
            <w:tcW w:w="1101"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522091</w:t>
            </w:r>
          </w:p>
        </w:tc>
        <w:tc>
          <w:tcPr>
            <w:tcW w:w="1134"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522091</w:t>
            </w:r>
          </w:p>
        </w:tc>
        <w:tc>
          <w:tcPr>
            <w:tcW w:w="4394" w:type="dxa"/>
          </w:tcPr>
          <w:p w:rsidR="00EC7825" w:rsidRPr="00203B84" w:rsidRDefault="00EC7825" w:rsidP="009D08B4">
            <w:pPr>
              <w:rPr>
                <w:rFonts w:ascii="Comic Sans MS" w:hAnsi="Comic Sans MS"/>
                <w:b/>
                <w:sz w:val="18"/>
                <w:szCs w:val="18"/>
              </w:rPr>
            </w:pPr>
            <w:r>
              <w:rPr>
                <w:rFonts w:ascii="Comic Sans MS" w:hAnsi="Comic Sans MS"/>
                <w:b/>
                <w:sz w:val="18"/>
                <w:szCs w:val="18"/>
              </w:rPr>
              <w:t xml:space="preserve">Servicio de usuarios directos de zona franca </w:t>
            </w:r>
          </w:p>
        </w:tc>
        <w:tc>
          <w:tcPr>
            <w:tcW w:w="1559" w:type="dxa"/>
            <w:vMerge/>
          </w:tcPr>
          <w:p w:rsidR="00EC7825" w:rsidRPr="00203B84" w:rsidRDefault="00EC7825" w:rsidP="00E924A9">
            <w:pPr>
              <w:jc w:val="center"/>
              <w:rPr>
                <w:rFonts w:ascii="Comic Sans MS" w:hAnsi="Comic Sans MS"/>
                <w:b/>
                <w:sz w:val="18"/>
                <w:szCs w:val="18"/>
              </w:rPr>
            </w:pPr>
          </w:p>
        </w:tc>
        <w:tc>
          <w:tcPr>
            <w:tcW w:w="2835" w:type="dxa"/>
            <w:vMerge/>
          </w:tcPr>
          <w:p w:rsidR="00EC7825" w:rsidRPr="00203B84" w:rsidRDefault="00EC7825" w:rsidP="009D08B4">
            <w:pPr>
              <w:rPr>
                <w:rFonts w:ascii="Comic Sans MS" w:hAnsi="Comic Sans MS"/>
                <w:b/>
                <w:sz w:val="18"/>
                <w:szCs w:val="18"/>
              </w:rPr>
            </w:pPr>
          </w:p>
        </w:tc>
      </w:tr>
      <w:tr w:rsidR="00EC7825" w:rsidRPr="00203B84" w:rsidTr="00AF5E80">
        <w:trPr>
          <w:trHeight w:val="468"/>
        </w:trPr>
        <w:tc>
          <w:tcPr>
            <w:tcW w:w="1101"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522092</w:t>
            </w:r>
          </w:p>
        </w:tc>
        <w:tc>
          <w:tcPr>
            <w:tcW w:w="1134"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522092</w:t>
            </w:r>
          </w:p>
        </w:tc>
        <w:tc>
          <w:tcPr>
            <w:tcW w:w="4394" w:type="dxa"/>
          </w:tcPr>
          <w:p w:rsidR="00EC7825" w:rsidRPr="00203B84" w:rsidRDefault="00EC7825" w:rsidP="009D08B4">
            <w:pPr>
              <w:rPr>
                <w:rFonts w:ascii="Comic Sans MS" w:hAnsi="Comic Sans MS"/>
                <w:b/>
                <w:sz w:val="18"/>
                <w:szCs w:val="18"/>
              </w:rPr>
            </w:pPr>
            <w:r>
              <w:rPr>
                <w:rFonts w:ascii="Comic Sans MS" w:hAnsi="Comic Sans MS"/>
                <w:b/>
                <w:sz w:val="18"/>
                <w:szCs w:val="18"/>
              </w:rPr>
              <w:t>Servicio de gestión de depósitos fiscales</w:t>
            </w:r>
          </w:p>
        </w:tc>
        <w:tc>
          <w:tcPr>
            <w:tcW w:w="1559" w:type="dxa"/>
            <w:vMerge/>
          </w:tcPr>
          <w:p w:rsidR="00EC7825" w:rsidRPr="00203B84" w:rsidRDefault="00EC7825" w:rsidP="00E924A9">
            <w:pPr>
              <w:jc w:val="center"/>
              <w:rPr>
                <w:rFonts w:ascii="Comic Sans MS" w:hAnsi="Comic Sans MS"/>
                <w:b/>
                <w:sz w:val="18"/>
                <w:szCs w:val="18"/>
              </w:rPr>
            </w:pPr>
          </w:p>
        </w:tc>
        <w:tc>
          <w:tcPr>
            <w:tcW w:w="2835" w:type="dxa"/>
            <w:vMerge/>
          </w:tcPr>
          <w:p w:rsidR="00EC7825" w:rsidRPr="00203B84" w:rsidRDefault="00EC7825" w:rsidP="009D08B4">
            <w:pPr>
              <w:rPr>
                <w:rFonts w:ascii="Comic Sans MS" w:hAnsi="Comic Sans MS"/>
                <w:b/>
                <w:sz w:val="18"/>
                <w:szCs w:val="18"/>
              </w:rPr>
            </w:pPr>
          </w:p>
        </w:tc>
      </w:tr>
      <w:tr w:rsidR="00EC7825" w:rsidRPr="00203B84" w:rsidTr="00AF5E80">
        <w:trPr>
          <w:trHeight w:val="449"/>
        </w:trPr>
        <w:tc>
          <w:tcPr>
            <w:tcW w:w="1101"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522099</w:t>
            </w:r>
          </w:p>
        </w:tc>
        <w:tc>
          <w:tcPr>
            <w:tcW w:w="1134" w:type="dxa"/>
          </w:tcPr>
          <w:p w:rsidR="00EC7825" w:rsidRPr="00203B84" w:rsidRDefault="00EC7825" w:rsidP="009D08B4">
            <w:pPr>
              <w:jc w:val="center"/>
              <w:rPr>
                <w:rFonts w:ascii="Comic Sans MS" w:hAnsi="Comic Sans MS"/>
                <w:b/>
                <w:sz w:val="18"/>
                <w:szCs w:val="18"/>
              </w:rPr>
            </w:pPr>
            <w:r>
              <w:rPr>
                <w:rFonts w:ascii="Comic Sans MS" w:hAnsi="Comic Sans MS"/>
                <w:b/>
                <w:sz w:val="18"/>
                <w:szCs w:val="18"/>
              </w:rPr>
              <w:t>522099</w:t>
            </w:r>
          </w:p>
        </w:tc>
        <w:tc>
          <w:tcPr>
            <w:tcW w:w="4394" w:type="dxa"/>
          </w:tcPr>
          <w:p w:rsidR="00EC7825" w:rsidRPr="00203B84" w:rsidRDefault="00EC7825" w:rsidP="009D08B4">
            <w:pPr>
              <w:rPr>
                <w:rFonts w:ascii="Comic Sans MS" w:hAnsi="Comic Sans MS"/>
                <w:b/>
                <w:sz w:val="18"/>
                <w:szCs w:val="18"/>
              </w:rPr>
            </w:pPr>
            <w:r>
              <w:rPr>
                <w:rFonts w:ascii="Comic Sans MS" w:hAnsi="Comic Sans MS"/>
                <w:b/>
                <w:sz w:val="18"/>
                <w:szCs w:val="18"/>
              </w:rPr>
              <w:t xml:space="preserve">Servicio de almacenamiento y depósitos </w:t>
            </w:r>
            <w:proofErr w:type="spellStart"/>
            <w:r>
              <w:rPr>
                <w:rFonts w:ascii="Comic Sans MS" w:hAnsi="Comic Sans MS"/>
                <w:b/>
                <w:sz w:val="18"/>
                <w:szCs w:val="18"/>
              </w:rPr>
              <w:t>n.c.p</w:t>
            </w:r>
            <w:proofErr w:type="spellEnd"/>
            <w:r w:rsidRPr="00203B84">
              <w:rPr>
                <w:rFonts w:ascii="Comic Sans MS" w:hAnsi="Comic Sans MS"/>
                <w:b/>
                <w:sz w:val="18"/>
                <w:szCs w:val="18"/>
              </w:rPr>
              <w:t>.</w:t>
            </w:r>
          </w:p>
        </w:tc>
        <w:tc>
          <w:tcPr>
            <w:tcW w:w="1559" w:type="dxa"/>
            <w:vMerge/>
          </w:tcPr>
          <w:p w:rsidR="00EC7825" w:rsidRPr="00203B84" w:rsidRDefault="00EC7825" w:rsidP="00E924A9">
            <w:pPr>
              <w:jc w:val="center"/>
              <w:rPr>
                <w:rFonts w:ascii="Comic Sans MS" w:hAnsi="Comic Sans MS"/>
                <w:b/>
                <w:sz w:val="18"/>
                <w:szCs w:val="18"/>
              </w:rPr>
            </w:pPr>
          </w:p>
        </w:tc>
        <w:tc>
          <w:tcPr>
            <w:tcW w:w="2835" w:type="dxa"/>
            <w:vMerge/>
          </w:tcPr>
          <w:p w:rsidR="00EC7825" w:rsidRPr="00203B84" w:rsidRDefault="00EC7825" w:rsidP="009D08B4">
            <w:pPr>
              <w:rPr>
                <w:rFonts w:ascii="Comic Sans MS" w:hAnsi="Comic Sans MS"/>
                <w:b/>
                <w:sz w:val="18"/>
                <w:szCs w:val="18"/>
              </w:rPr>
            </w:pPr>
          </w:p>
        </w:tc>
      </w:tr>
      <w:tr w:rsidR="00EC7825" w:rsidRPr="00203B84" w:rsidTr="00AF5E80">
        <w:trPr>
          <w:trHeight w:val="416"/>
        </w:trPr>
        <w:tc>
          <w:tcPr>
            <w:tcW w:w="1101" w:type="dxa"/>
          </w:tcPr>
          <w:p w:rsidR="00EC7825" w:rsidRDefault="00EC7825" w:rsidP="009D08B4">
            <w:pPr>
              <w:jc w:val="center"/>
              <w:rPr>
                <w:rFonts w:ascii="Comic Sans MS" w:hAnsi="Comic Sans MS"/>
                <w:b/>
                <w:sz w:val="18"/>
                <w:szCs w:val="18"/>
              </w:rPr>
            </w:pPr>
            <w:r>
              <w:rPr>
                <w:rFonts w:ascii="Comic Sans MS" w:hAnsi="Comic Sans MS"/>
                <w:b/>
                <w:sz w:val="18"/>
                <w:szCs w:val="18"/>
              </w:rPr>
              <w:t>523039</w:t>
            </w:r>
          </w:p>
        </w:tc>
        <w:tc>
          <w:tcPr>
            <w:tcW w:w="1134" w:type="dxa"/>
          </w:tcPr>
          <w:p w:rsidR="00EC7825" w:rsidRDefault="00EC7825" w:rsidP="009D08B4">
            <w:pPr>
              <w:jc w:val="center"/>
              <w:rPr>
                <w:rFonts w:ascii="Comic Sans MS" w:hAnsi="Comic Sans MS"/>
                <w:b/>
                <w:sz w:val="18"/>
                <w:szCs w:val="18"/>
              </w:rPr>
            </w:pPr>
            <w:r>
              <w:rPr>
                <w:rFonts w:ascii="Comic Sans MS" w:hAnsi="Comic Sans MS"/>
                <w:b/>
                <w:sz w:val="18"/>
                <w:szCs w:val="18"/>
              </w:rPr>
              <w:t>523039</w:t>
            </w:r>
          </w:p>
        </w:tc>
        <w:tc>
          <w:tcPr>
            <w:tcW w:w="4394" w:type="dxa"/>
          </w:tcPr>
          <w:p w:rsidR="00EC7825" w:rsidRDefault="00EC7825" w:rsidP="009D08B4">
            <w:pPr>
              <w:rPr>
                <w:rFonts w:ascii="Comic Sans MS" w:hAnsi="Comic Sans MS"/>
                <w:b/>
                <w:sz w:val="18"/>
                <w:szCs w:val="18"/>
              </w:rPr>
            </w:pPr>
            <w:r>
              <w:rPr>
                <w:rFonts w:ascii="Comic Sans MS" w:hAnsi="Comic Sans MS"/>
                <w:b/>
                <w:sz w:val="18"/>
                <w:szCs w:val="18"/>
              </w:rPr>
              <w:t xml:space="preserve">Servicios de operadores logísticos </w:t>
            </w:r>
            <w:proofErr w:type="spellStart"/>
            <w:r>
              <w:rPr>
                <w:rFonts w:ascii="Comic Sans MS" w:hAnsi="Comic Sans MS"/>
                <w:b/>
                <w:sz w:val="18"/>
                <w:szCs w:val="18"/>
              </w:rPr>
              <w:t>n.c.p</w:t>
            </w:r>
            <w:proofErr w:type="spellEnd"/>
            <w:r>
              <w:rPr>
                <w:rFonts w:ascii="Comic Sans MS" w:hAnsi="Comic Sans MS"/>
                <w:b/>
                <w:sz w:val="18"/>
                <w:szCs w:val="18"/>
              </w:rPr>
              <w:t>.</w:t>
            </w:r>
          </w:p>
        </w:tc>
        <w:tc>
          <w:tcPr>
            <w:tcW w:w="1559" w:type="dxa"/>
            <w:vMerge/>
          </w:tcPr>
          <w:p w:rsidR="00EC7825" w:rsidRDefault="00EC7825" w:rsidP="00E924A9">
            <w:pPr>
              <w:jc w:val="center"/>
              <w:rPr>
                <w:rFonts w:ascii="Comic Sans MS" w:hAnsi="Comic Sans MS"/>
                <w:b/>
                <w:sz w:val="18"/>
                <w:szCs w:val="18"/>
              </w:rPr>
            </w:pPr>
          </w:p>
        </w:tc>
        <w:tc>
          <w:tcPr>
            <w:tcW w:w="2835" w:type="dxa"/>
            <w:vMerge/>
          </w:tcPr>
          <w:p w:rsidR="00EC7825" w:rsidRPr="00203B84" w:rsidRDefault="00EC7825" w:rsidP="009D08B4">
            <w:pPr>
              <w:rPr>
                <w:rFonts w:ascii="Comic Sans MS" w:hAnsi="Comic Sans MS"/>
                <w:b/>
                <w:sz w:val="18"/>
                <w:szCs w:val="18"/>
              </w:rPr>
            </w:pPr>
          </w:p>
        </w:tc>
      </w:tr>
      <w:tr w:rsidR="00EC7825" w:rsidRPr="00203B84" w:rsidTr="00AF5E80">
        <w:trPr>
          <w:trHeight w:val="416"/>
        </w:trPr>
        <w:tc>
          <w:tcPr>
            <w:tcW w:w="1101" w:type="dxa"/>
          </w:tcPr>
          <w:p w:rsidR="00EC7825" w:rsidRPr="00E97646" w:rsidRDefault="00EC7825" w:rsidP="009D08B4">
            <w:pPr>
              <w:jc w:val="center"/>
              <w:rPr>
                <w:rFonts w:ascii="Comic Sans MS" w:hAnsi="Comic Sans MS"/>
                <w:b/>
                <w:sz w:val="18"/>
                <w:szCs w:val="18"/>
              </w:rPr>
            </w:pPr>
            <w:r w:rsidRPr="00E97646">
              <w:rPr>
                <w:rFonts w:ascii="Comic Sans MS" w:hAnsi="Comic Sans MS"/>
                <w:b/>
                <w:sz w:val="18"/>
                <w:szCs w:val="18"/>
              </w:rPr>
              <w:t>523090</w:t>
            </w:r>
          </w:p>
        </w:tc>
        <w:tc>
          <w:tcPr>
            <w:tcW w:w="1134" w:type="dxa"/>
          </w:tcPr>
          <w:p w:rsidR="00EC7825" w:rsidRPr="00E97646" w:rsidRDefault="00EC7825" w:rsidP="009D08B4">
            <w:pPr>
              <w:jc w:val="center"/>
              <w:rPr>
                <w:rFonts w:ascii="Comic Sans MS" w:hAnsi="Comic Sans MS"/>
                <w:b/>
                <w:sz w:val="18"/>
                <w:szCs w:val="18"/>
              </w:rPr>
            </w:pPr>
            <w:r w:rsidRPr="00E97646">
              <w:rPr>
                <w:rFonts w:ascii="Comic Sans MS" w:hAnsi="Comic Sans MS"/>
                <w:b/>
                <w:sz w:val="18"/>
                <w:szCs w:val="18"/>
              </w:rPr>
              <w:t>523090</w:t>
            </w:r>
          </w:p>
        </w:tc>
        <w:tc>
          <w:tcPr>
            <w:tcW w:w="4394" w:type="dxa"/>
          </w:tcPr>
          <w:p w:rsidR="00EC7825" w:rsidRPr="00E97646" w:rsidRDefault="00EC7825" w:rsidP="009D08B4">
            <w:pPr>
              <w:rPr>
                <w:rFonts w:ascii="Comic Sans MS" w:hAnsi="Comic Sans MS"/>
                <w:b/>
                <w:sz w:val="18"/>
                <w:szCs w:val="18"/>
              </w:rPr>
            </w:pPr>
            <w:r w:rsidRPr="00E97646">
              <w:rPr>
                <w:rFonts w:ascii="Comic Sans MS" w:hAnsi="Comic Sans MS"/>
                <w:b/>
                <w:sz w:val="18"/>
                <w:szCs w:val="18"/>
              </w:rPr>
              <w:t xml:space="preserve">Servicio de gestión y logística para el transporte de mercaderías </w:t>
            </w:r>
            <w:proofErr w:type="spellStart"/>
            <w:r w:rsidRPr="00E97646">
              <w:rPr>
                <w:rFonts w:ascii="Comic Sans MS" w:hAnsi="Comic Sans MS"/>
                <w:b/>
                <w:sz w:val="18"/>
                <w:szCs w:val="18"/>
              </w:rPr>
              <w:t>n.c.p</w:t>
            </w:r>
            <w:proofErr w:type="spellEnd"/>
            <w:r w:rsidRPr="00E97646">
              <w:rPr>
                <w:rFonts w:ascii="Comic Sans MS" w:hAnsi="Comic Sans MS"/>
                <w:b/>
                <w:sz w:val="18"/>
                <w:szCs w:val="18"/>
              </w:rPr>
              <w:t>.</w:t>
            </w:r>
          </w:p>
        </w:tc>
        <w:tc>
          <w:tcPr>
            <w:tcW w:w="1559" w:type="dxa"/>
            <w:vMerge/>
          </w:tcPr>
          <w:p w:rsidR="00EC7825" w:rsidRDefault="00EC7825" w:rsidP="00E924A9">
            <w:pPr>
              <w:jc w:val="center"/>
              <w:rPr>
                <w:rFonts w:ascii="Comic Sans MS" w:hAnsi="Comic Sans MS"/>
                <w:b/>
                <w:sz w:val="18"/>
                <w:szCs w:val="18"/>
              </w:rPr>
            </w:pPr>
          </w:p>
        </w:tc>
        <w:tc>
          <w:tcPr>
            <w:tcW w:w="2835" w:type="dxa"/>
            <w:vMerge/>
          </w:tcPr>
          <w:p w:rsidR="00EC7825" w:rsidRPr="00203B84" w:rsidRDefault="00EC7825" w:rsidP="009D08B4">
            <w:pPr>
              <w:rPr>
                <w:rFonts w:ascii="Comic Sans MS" w:hAnsi="Comic Sans MS"/>
                <w:b/>
                <w:sz w:val="18"/>
                <w:szCs w:val="18"/>
              </w:rPr>
            </w:pPr>
          </w:p>
        </w:tc>
      </w:tr>
      <w:tr w:rsidR="00F7751D" w:rsidRPr="00203B84" w:rsidTr="00AF5E80">
        <w:trPr>
          <w:trHeight w:val="416"/>
        </w:trPr>
        <w:tc>
          <w:tcPr>
            <w:tcW w:w="1101" w:type="dxa"/>
          </w:tcPr>
          <w:p w:rsidR="00F7751D" w:rsidRPr="00203B84" w:rsidRDefault="00F7751D" w:rsidP="009D08B4">
            <w:pPr>
              <w:jc w:val="center"/>
              <w:rPr>
                <w:rFonts w:ascii="Comic Sans MS" w:hAnsi="Comic Sans MS"/>
                <w:b/>
                <w:sz w:val="18"/>
                <w:szCs w:val="18"/>
              </w:rPr>
            </w:pPr>
            <w:r>
              <w:rPr>
                <w:rFonts w:ascii="Comic Sans MS" w:hAnsi="Comic Sans MS"/>
                <w:b/>
                <w:sz w:val="18"/>
                <w:szCs w:val="18"/>
              </w:rPr>
              <w:t>530010</w:t>
            </w:r>
          </w:p>
        </w:tc>
        <w:tc>
          <w:tcPr>
            <w:tcW w:w="1134" w:type="dxa"/>
          </w:tcPr>
          <w:p w:rsidR="00F7751D" w:rsidRPr="00203B84" w:rsidRDefault="00F7751D" w:rsidP="009D08B4">
            <w:pPr>
              <w:jc w:val="center"/>
              <w:rPr>
                <w:rFonts w:ascii="Comic Sans MS" w:hAnsi="Comic Sans MS"/>
                <w:b/>
                <w:sz w:val="18"/>
                <w:szCs w:val="18"/>
              </w:rPr>
            </w:pPr>
            <w:r>
              <w:rPr>
                <w:rFonts w:ascii="Comic Sans MS" w:hAnsi="Comic Sans MS"/>
                <w:b/>
                <w:sz w:val="18"/>
                <w:szCs w:val="18"/>
              </w:rPr>
              <w:t>530010</w:t>
            </w:r>
          </w:p>
        </w:tc>
        <w:tc>
          <w:tcPr>
            <w:tcW w:w="4394" w:type="dxa"/>
          </w:tcPr>
          <w:p w:rsidR="00F7751D" w:rsidRPr="00203B84" w:rsidRDefault="00F7751D" w:rsidP="009D08B4">
            <w:pPr>
              <w:rPr>
                <w:rFonts w:ascii="Comic Sans MS" w:hAnsi="Comic Sans MS"/>
                <w:b/>
                <w:sz w:val="18"/>
                <w:szCs w:val="18"/>
              </w:rPr>
            </w:pPr>
            <w:r>
              <w:rPr>
                <w:rFonts w:ascii="Comic Sans MS" w:hAnsi="Comic Sans MS"/>
                <w:b/>
                <w:sz w:val="18"/>
                <w:szCs w:val="18"/>
              </w:rPr>
              <w:t>Servicio de correo postal</w:t>
            </w:r>
          </w:p>
        </w:tc>
        <w:tc>
          <w:tcPr>
            <w:tcW w:w="1559" w:type="dxa"/>
            <w:vMerge w:val="restart"/>
          </w:tcPr>
          <w:p w:rsidR="00F7751D" w:rsidRDefault="00F7751D" w:rsidP="00E924A9">
            <w:pPr>
              <w:jc w:val="center"/>
              <w:rPr>
                <w:rFonts w:ascii="Comic Sans MS" w:hAnsi="Comic Sans MS"/>
                <w:b/>
                <w:sz w:val="18"/>
                <w:szCs w:val="18"/>
              </w:rPr>
            </w:pPr>
            <w:r>
              <w:rPr>
                <w:rFonts w:ascii="Comic Sans MS" w:hAnsi="Comic Sans MS"/>
                <w:b/>
                <w:sz w:val="18"/>
                <w:szCs w:val="18"/>
              </w:rPr>
              <w:t>3,326%</w:t>
            </w:r>
          </w:p>
          <w:p w:rsidR="007C4990" w:rsidRDefault="007C4990" w:rsidP="007C4990">
            <w:pPr>
              <w:jc w:val="center"/>
              <w:rPr>
                <w:rFonts w:ascii="Comic Sans MS" w:hAnsi="Comic Sans MS"/>
                <w:b/>
                <w:sz w:val="18"/>
                <w:szCs w:val="18"/>
              </w:rPr>
            </w:pPr>
            <w:r>
              <w:rPr>
                <w:rFonts w:ascii="Comic Sans MS" w:hAnsi="Comic Sans MS"/>
                <w:b/>
                <w:sz w:val="18"/>
                <w:szCs w:val="18"/>
              </w:rPr>
              <w:t>o</w:t>
            </w:r>
          </w:p>
          <w:p w:rsidR="007C4990" w:rsidRPr="00203B84" w:rsidRDefault="007C4990" w:rsidP="00E924A9">
            <w:pPr>
              <w:jc w:val="center"/>
              <w:rPr>
                <w:rFonts w:ascii="Comic Sans MS" w:hAnsi="Comic Sans MS"/>
                <w:b/>
                <w:sz w:val="18"/>
                <w:szCs w:val="18"/>
              </w:rPr>
            </w:pPr>
            <w:r>
              <w:rPr>
                <w:rFonts w:ascii="Comic Sans MS" w:hAnsi="Comic Sans MS"/>
                <w:b/>
                <w:sz w:val="18"/>
                <w:szCs w:val="18"/>
              </w:rPr>
              <w:t>2,328%</w:t>
            </w:r>
          </w:p>
        </w:tc>
        <w:tc>
          <w:tcPr>
            <w:tcW w:w="2835" w:type="dxa"/>
            <w:vMerge/>
          </w:tcPr>
          <w:p w:rsidR="00F7751D" w:rsidRPr="00203B84" w:rsidRDefault="00F7751D" w:rsidP="009D08B4">
            <w:pPr>
              <w:rPr>
                <w:rFonts w:ascii="Comic Sans MS" w:hAnsi="Comic Sans MS"/>
                <w:b/>
                <w:sz w:val="18"/>
                <w:szCs w:val="18"/>
              </w:rPr>
            </w:pPr>
          </w:p>
        </w:tc>
      </w:tr>
      <w:tr w:rsidR="00F7751D" w:rsidRPr="00203B84" w:rsidTr="00EC7825">
        <w:trPr>
          <w:trHeight w:val="390"/>
        </w:trPr>
        <w:tc>
          <w:tcPr>
            <w:tcW w:w="1101" w:type="dxa"/>
          </w:tcPr>
          <w:p w:rsidR="00F7751D" w:rsidRPr="00203B84" w:rsidRDefault="00F7751D" w:rsidP="009D08B4">
            <w:pPr>
              <w:jc w:val="center"/>
              <w:rPr>
                <w:rFonts w:ascii="Comic Sans MS" w:hAnsi="Comic Sans MS"/>
                <w:b/>
                <w:sz w:val="18"/>
                <w:szCs w:val="18"/>
              </w:rPr>
            </w:pPr>
            <w:r>
              <w:rPr>
                <w:rFonts w:ascii="Comic Sans MS" w:hAnsi="Comic Sans MS"/>
                <w:b/>
                <w:sz w:val="18"/>
                <w:szCs w:val="18"/>
              </w:rPr>
              <w:t>530090</w:t>
            </w:r>
          </w:p>
        </w:tc>
        <w:tc>
          <w:tcPr>
            <w:tcW w:w="1134" w:type="dxa"/>
          </w:tcPr>
          <w:p w:rsidR="00F7751D" w:rsidRPr="00203B84" w:rsidRDefault="00F7751D" w:rsidP="009D08B4">
            <w:pPr>
              <w:jc w:val="center"/>
              <w:rPr>
                <w:rFonts w:ascii="Comic Sans MS" w:hAnsi="Comic Sans MS"/>
                <w:b/>
                <w:sz w:val="18"/>
                <w:szCs w:val="18"/>
              </w:rPr>
            </w:pPr>
            <w:r>
              <w:rPr>
                <w:rFonts w:ascii="Comic Sans MS" w:hAnsi="Comic Sans MS"/>
                <w:b/>
                <w:sz w:val="18"/>
                <w:szCs w:val="18"/>
              </w:rPr>
              <w:t>530090</w:t>
            </w:r>
          </w:p>
        </w:tc>
        <w:tc>
          <w:tcPr>
            <w:tcW w:w="4394" w:type="dxa"/>
          </w:tcPr>
          <w:p w:rsidR="00F7751D" w:rsidRPr="00203B84" w:rsidRDefault="00F7751D" w:rsidP="009D08B4">
            <w:pPr>
              <w:rPr>
                <w:rFonts w:ascii="Comic Sans MS" w:hAnsi="Comic Sans MS"/>
                <w:b/>
                <w:sz w:val="18"/>
                <w:szCs w:val="18"/>
              </w:rPr>
            </w:pPr>
            <w:r>
              <w:rPr>
                <w:rFonts w:ascii="Comic Sans MS" w:hAnsi="Comic Sans MS"/>
                <w:b/>
                <w:sz w:val="18"/>
                <w:szCs w:val="18"/>
              </w:rPr>
              <w:t xml:space="preserve">Servicio de </w:t>
            </w:r>
            <w:proofErr w:type="spellStart"/>
            <w:r>
              <w:rPr>
                <w:rFonts w:ascii="Comic Sans MS" w:hAnsi="Comic Sans MS"/>
                <w:b/>
                <w:sz w:val="18"/>
                <w:szCs w:val="18"/>
              </w:rPr>
              <w:t>mensajeria</w:t>
            </w:r>
            <w:proofErr w:type="spellEnd"/>
          </w:p>
        </w:tc>
        <w:tc>
          <w:tcPr>
            <w:tcW w:w="1559" w:type="dxa"/>
            <w:vMerge/>
          </w:tcPr>
          <w:p w:rsidR="00F7751D" w:rsidRPr="00203B84" w:rsidRDefault="00F7751D" w:rsidP="00E924A9">
            <w:pPr>
              <w:jc w:val="center"/>
              <w:rPr>
                <w:rFonts w:ascii="Comic Sans MS" w:hAnsi="Comic Sans MS"/>
                <w:b/>
                <w:sz w:val="18"/>
                <w:szCs w:val="18"/>
              </w:rPr>
            </w:pPr>
          </w:p>
        </w:tc>
        <w:tc>
          <w:tcPr>
            <w:tcW w:w="2835" w:type="dxa"/>
            <w:vMerge/>
          </w:tcPr>
          <w:p w:rsidR="00F7751D" w:rsidRPr="00203B84" w:rsidRDefault="00F7751D" w:rsidP="009D08B4">
            <w:pPr>
              <w:rPr>
                <w:rFonts w:ascii="Comic Sans MS" w:hAnsi="Comic Sans MS"/>
                <w:b/>
                <w:sz w:val="18"/>
                <w:szCs w:val="18"/>
              </w:rPr>
            </w:pPr>
          </w:p>
        </w:tc>
      </w:tr>
      <w:tr w:rsidR="009F3939" w:rsidRPr="00203B84" w:rsidTr="0020546F">
        <w:trPr>
          <w:trHeight w:val="588"/>
        </w:trPr>
        <w:tc>
          <w:tcPr>
            <w:tcW w:w="1101"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801010</w:t>
            </w:r>
          </w:p>
        </w:tc>
        <w:tc>
          <w:tcPr>
            <w:tcW w:w="1134"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801010</w:t>
            </w:r>
          </w:p>
        </w:tc>
        <w:tc>
          <w:tcPr>
            <w:tcW w:w="4394" w:type="dxa"/>
          </w:tcPr>
          <w:p w:rsidR="009F3939" w:rsidRPr="00203B84" w:rsidRDefault="009F3939" w:rsidP="009D08B4">
            <w:pPr>
              <w:rPr>
                <w:rFonts w:ascii="Comic Sans MS" w:hAnsi="Comic Sans MS"/>
                <w:b/>
                <w:sz w:val="18"/>
                <w:szCs w:val="18"/>
              </w:rPr>
            </w:pPr>
            <w:r>
              <w:rPr>
                <w:rFonts w:ascii="Comic Sans MS" w:hAnsi="Comic Sans MS"/>
                <w:b/>
                <w:sz w:val="18"/>
                <w:szCs w:val="18"/>
              </w:rPr>
              <w:t>Servicio de transporte de caudales y objetos de valor</w:t>
            </w:r>
          </w:p>
        </w:tc>
        <w:tc>
          <w:tcPr>
            <w:tcW w:w="1559" w:type="dxa"/>
          </w:tcPr>
          <w:p w:rsidR="009F3939" w:rsidRDefault="009F3939" w:rsidP="00E924A9">
            <w:pPr>
              <w:jc w:val="center"/>
              <w:rPr>
                <w:rFonts w:ascii="Comic Sans MS" w:hAnsi="Comic Sans MS"/>
                <w:b/>
                <w:sz w:val="18"/>
                <w:szCs w:val="18"/>
              </w:rPr>
            </w:pPr>
            <w:r>
              <w:rPr>
                <w:rFonts w:ascii="Comic Sans MS" w:hAnsi="Comic Sans MS"/>
                <w:b/>
                <w:sz w:val="18"/>
                <w:szCs w:val="18"/>
              </w:rPr>
              <w:t>3,50%</w:t>
            </w:r>
          </w:p>
          <w:p w:rsidR="007C4990" w:rsidRPr="00203B84" w:rsidRDefault="007C4990" w:rsidP="00E924A9">
            <w:pPr>
              <w:jc w:val="center"/>
              <w:rPr>
                <w:rFonts w:ascii="Comic Sans MS" w:hAnsi="Comic Sans MS"/>
                <w:b/>
                <w:sz w:val="18"/>
                <w:szCs w:val="18"/>
              </w:rPr>
            </w:pPr>
            <w:proofErr w:type="gramStart"/>
            <w:r>
              <w:rPr>
                <w:rFonts w:ascii="Comic Sans MS" w:hAnsi="Comic Sans MS"/>
                <w:b/>
                <w:sz w:val="18"/>
                <w:szCs w:val="18"/>
              </w:rPr>
              <w:t>o  2</w:t>
            </w:r>
            <w:proofErr w:type="gramEnd"/>
            <w:r>
              <w:rPr>
                <w:rFonts w:ascii="Comic Sans MS" w:hAnsi="Comic Sans MS"/>
                <w:b/>
                <w:sz w:val="18"/>
                <w:szCs w:val="18"/>
              </w:rPr>
              <w:t>,45%</w:t>
            </w:r>
          </w:p>
        </w:tc>
        <w:tc>
          <w:tcPr>
            <w:tcW w:w="2835" w:type="dxa"/>
            <w:vMerge/>
          </w:tcPr>
          <w:p w:rsidR="009F3939" w:rsidRPr="00203B84" w:rsidRDefault="009F3939" w:rsidP="009D08B4">
            <w:pPr>
              <w:rPr>
                <w:rFonts w:ascii="Comic Sans MS" w:hAnsi="Comic Sans MS"/>
                <w:b/>
                <w:sz w:val="18"/>
                <w:szCs w:val="18"/>
              </w:rPr>
            </w:pPr>
          </w:p>
        </w:tc>
      </w:tr>
      <w:tr w:rsidR="009F3939" w:rsidRPr="00203B84" w:rsidTr="00EC7825">
        <w:trPr>
          <w:trHeight w:val="564"/>
        </w:trPr>
        <w:tc>
          <w:tcPr>
            <w:tcW w:w="1101"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381100</w:t>
            </w:r>
          </w:p>
        </w:tc>
        <w:tc>
          <w:tcPr>
            <w:tcW w:w="1134"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381100</w:t>
            </w:r>
          </w:p>
        </w:tc>
        <w:tc>
          <w:tcPr>
            <w:tcW w:w="4394" w:type="dxa"/>
          </w:tcPr>
          <w:p w:rsidR="009F3939" w:rsidRPr="00203B84" w:rsidRDefault="009F3939" w:rsidP="009D08B4">
            <w:pPr>
              <w:rPr>
                <w:rFonts w:ascii="Comic Sans MS" w:hAnsi="Comic Sans MS"/>
                <w:b/>
                <w:sz w:val="18"/>
                <w:szCs w:val="18"/>
              </w:rPr>
            </w:pPr>
            <w:r>
              <w:rPr>
                <w:rFonts w:ascii="Comic Sans MS" w:hAnsi="Comic Sans MS"/>
                <w:b/>
                <w:sz w:val="18"/>
                <w:szCs w:val="18"/>
              </w:rPr>
              <w:t>Recolección, transporte, tratamiento y disposición final de residuos no peligrosos.</w:t>
            </w:r>
          </w:p>
        </w:tc>
        <w:tc>
          <w:tcPr>
            <w:tcW w:w="1559" w:type="dxa"/>
            <w:vMerge w:val="restart"/>
          </w:tcPr>
          <w:p w:rsidR="009F3939" w:rsidRDefault="009F3939" w:rsidP="00E924A9">
            <w:pPr>
              <w:jc w:val="center"/>
              <w:rPr>
                <w:rFonts w:ascii="Comic Sans MS" w:hAnsi="Comic Sans MS"/>
                <w:b/>
                <w:sz w:val="18"/>
                <w:szCs w:val="18"/>
              </w:rPr>
            </w:pPr>
          </w:p>
          <w:p w:rsidR="009F3939" w:rsidRDefault="009F3939" w:rsidP="00E924A9">
            <w:pPr>
              <w:jc w:val="center"/>
              <w:rPr>
                <w:rFonts w:ascii="Comic Sans MS" w:hAnsi="Comic Sans MS"/>
                <w:b/>
                <w:sz w:val="18"/>
                <w:szCs w:val="18"/>
              </w:rPr>
            </w:pPr>
            <w:r>
              <w:rPr>
                <w:rFonts w:ascii="Comic Sans MS" w:hAnsi="Comic Sans MS"/>
                <w:b/>
                <w:sz w:val="18"/>
                <w:szCs w:val="18"/>
              </w:rPr>
              <w:t>3,00%</w:t>
            </w:r>
          </w:p>
          <w:p w:rsidR="007C4990" w:rsidRDefault="007C4990" w:rsidP="007C4990">
            <w:pPr>
              <w:jc w:val="center"/>
              <w:rPr>
                <w:rFonts w:ascii="Comic Sans MS" w:hAnsi="Comic Sans MS"/>
                <w:b/>
                <w:sz w:val="18"/>
                <w:szCs w:val="18"/>
              </w:rPr>
            </w:pPr>
            <w:r>
              <w:rPr>
                <w:rFonts w:ascii="Comic Sans MS" w:hAnsi="Comic Sans MS"/>
                <w:b/>
                <w:sz w:val="18"/>
                <w:szCs w:val="18"/>
              </w:rPr>
              <w:t>o</w:t>
            </w:r>
          </w:p>
          <w:p w:rsidR="007C4990" w:rsidRPr="00203B84" w:rsidRDefault="00923379" w:rsidP="007C4990">
            <w:pPr>
              <w:jc w:val="center"/>
              <w:rPr>
                <w:rFonts w:ascii="Comic Sans MS" w:hAnsi="Comic Sans MS"/>
                <w:b/>
                <w:sz w:val="18"/>
                <w:szCs w:val="18"/>
              </w:rPr>
            </w:pPr>
            <w:r>
              <w:rPr>
                <w:rFonts w:ascii="Comic Sans MS" w:hAnsi="Comic Sans MS"/>
                <w:b/>
                <w:sz w:val="18"/>
                <w:szCs w:val="18"/>
              </w:rPr>
              <w:t>2,10</w:t>
            </w:r>
          </w:p>
        </w:tc>
        <w:tc>
          <w:tcPr>
            <w:tcW w:w="2835" w:type="dxa"/>
            <w:vMerge/>
          </w:tcPr>
          <w:p w:rsidR="009F3939" w:rsidRPr="00203B84" w:rsidRDefault="009F3939" w:rsidP="009D08B4">
            <w:pPr>
              <w:rPr>
                <w:rFonts w:ascii="Comic Sans MS" w:hAnsi="Comic Sans MS"/>
                <w:b/>
                <w:sz w:val="18"/>
                <w:szCs w:val="18"/>
              </w:rPr>
            </w:pPr>
          </w:p>
        </w:tc>
      </w:tr>
      <w:tr w:rsidR="009F3939" w:rsidRPr="00203B84" w:rsidTr="0020546F">
        <w:trPr>
          <w:trHeight w:val="765"/>
        </w:trPr>
        <w:tc>
          <w:tcPr>
            <w:tcW w:w="1101"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381200</w:t>
            </w:r>
          </w:p>
        </w:tc>
        <w:tc>
          <w:tcPr>
            <w:tcW w:w="1134" w:type="dxa"/>
          </w:tcPr>
          <w:p w:rsidR="009F3939" w:rsidRPr="00203B84" w:rsidRDefault="009F3939" w:rsidP="009D08B4">
            <w:pPr>
              <w:jc w:val="center"/>
              <w:rPr>
                <w:rFonts w:ascii="Comic Sans MS" w:hAnsi="Comic Sans MS"/>
                <w:b/>
                <w:sz w:val="18"/>
                <w:szCs w:val="18"/>
              </w:rPr>
            </w:pPr>
            <w:r>
              <w:rPr>
                <w:rFonts w:ascii="Comic Sans MS" w:hAnsi="Comic Sans MS"/>
                <w:b/>
                <w:sz w:val="18"/>
                <w:szCs w:val="18"/>
              </w:rPr>
              <w:t>381200</w:t>
            </w:r>
          </w:p>
        </w:tc>
        <w:tc>
          <w:tcPr>
            <w:tcW w:w="4394" w:type="dxa"/>
          </w:tcPr>
          <w:p w:rsidR="009F3939" w:rsidRPr="00203B84" w:rsidRDefault="009F3939" w:rsidP="009D08B4">
            <w:pPr>
              <w:rPr>
                <w:rFonts w:ascii="Comic Sans MS" w:hAnsi="Comic Sans MS"/>
                <w:b/>
                <w:sz w:val="18"/>
                <w:szCs w:val="18"/>
              </w:rPr>
            </w:pPr>
            <w:r>
              <w:rPr>
                <w:rFonts w:ascii="Comic Sans MS" w:hAnsi="Comic Sans MS"/>
                <w:b/>
                <w:sz w:val="18"/>
                <w:szCs w:val="18"/>
              </w:rPr>
              <w:t>Recolección, transporte, tratamiento y disposición final de residuos peligrosos.</w:t>
            </w:r>
          </w:p>
        </w:tc>
        <w:tc>
          <w:tcPr>
            <w:tcW w:w="1559" w:type="dxa"/>
            <w:vMerge/>
          </w:tcPr>
          <w:p w:rsidR="009F3939" w:rsidRPr="00203B84" w:rsidRDefault="009F3939" w:rsidP="009D08B4">
            <w:pPr>
              <w:jc w:val="center"/>
              <w:rPr>
                <w:rFonts w:ascii="Comic Sans MS" w:hAnsi="Comic Sans MS"/>
                <w:b/>
                <w:sz w:val="18"/>
                <w:szCs w:val="18"/>
              </w:rPr>
            </w:pPr>
          </w:p>
        </w:tc>
        <w:tc>
          <w:tcPr>
            <w:tcW w:w="2835" w:type="dxa"/>
            <w:vMerge/>
          </w:tcPr>
          <w:p w:rsidR="009F3939" w:rsidRPr="00203B84" w:rsidRDefault="009F3939" w:rsidP="009D08B4">
            <w:pPr>
              <w:rPr>
                <w:rFonts w:ascii="Comic Sans MS" w:hAnsi="Comic Sans MS"/>
                <w:b/>
                <w:sz w:val="18"/>
                <w:szCs w:val="18"/>
              </w:rPr>
            </w:pPr>
          </w:p>
        </w:tc>
      </w:tr>
    </w:tbl>
    <w:p w:rsidR="00977631" w:rsidRPr="00203B84" w:rsidRDefault="00977631" w:rsidP="00C33E91">
      <w:pPr>
        <w:rPr>
          <w:sz w:val="18"/>
          <w:szCs w:val="18"/>
        </w:rPr>
      </w:pPr>
    </w:p>
    <w:p w:rsidR="001653D7" w:rsidRDefault="002974AD" w:rsidP="00C33E91">
      <w:pPr>
        <w:rPr>
          <w:rFonts w:ascii="Comic Sans MS" w:hAnsi="Comic Sans MS"/>
          <w:sz w:val="18"/>
          <w:szCs w:val="18"/>
        </w:rPr>
      </w:pPr>
      <w:r w:rsidRPr="002974AD">
        <w:rPr>
          <w:rFonts w:ascii="Comic Sans MS" w:hAnsi="Comic Sans MS"/>
          <w:sz w:val="18"/>
          <w:szCs w:val="18"/>
        </w:rPr>
        <w:lastRenderedPageBreak/>
        <w:t xml:space="preserve">(*) Artículo </w:t>
      </w:r>
      <w:r w:rsidR="00EF3D0E">
        <w:rPr>
          <w:rFonts w:ascii="Comic Sans MS" w:hAnsi="Comic Sans MS"/>
          <w:sz w:val="18"/>
          <w:szCs w:val="18"/>
        </w:rPr>
        <w:t>36</w:t>
      </w:r>
      <w:r w:rsidRPr="002974AD">
        <w:rPr>
          <w:rFonts w:ascii="Comic Sans MS" w:hAnsi="Comic Sans MS"/>
          <w:sz w:val="18"/>
          <w:szCs w:val="18"/>
        </w:rPr>
        <w:t>.- En el caso de contribuyentes cuya sumatoria de bases imponibles, declaradas o determinadas por la Dirección para el ejercicio fiscal 201</w:t>
      </w:r>
      <w:r w:rsidR="007C1EAE">
        <w:rPr>
          <w:rFonts w:ascii="Comic Sans MS" w:hAnsi="Comic Sans MS"/>
          <w:sz w:val="18"/>
          <w:szCs w:val="18"/>
        </w:rPr>
        <w:t>8</w:t>
      </w:r>
      <w:r w:rsidRPr="002974AD">
        <w:rPr>
          <w:rFonts w:ascii="Comic Sans MS" w:hAnsi="Comic Sans MS"/>
          <w:sz w:val="18"/>
          <w:szCs w:val="18"/>
        </w:rPr>
        <w:t xml:space="preserve">, atribuibles a la totalidad de actividades desarrolladas -incluidas las que corresponderían a las exentas y/o no gravadas-, cualquiera sea la jurisdicción en que se lleven a cabo las mismas, no supere la suma de Pesos </w:t>
      </w:r>
      <w:r w:rsidR="00B666E7">
        <w:rPr>
          <w:rFonts w:ascii="Comic Sans MS" w:hAnsi="Comic Sans MS"/>
          <w:sz w:val="18"/>
          <w:szCs w:val="18"/>
        </w:rPr>
        <w:t>Once</w:t>
      </w:r>
      <w:r w:rsidRPr="002974AD">
        <w:rPr>
          <w:rFonts w:ascii="Comic Sans MS" w:hAnsi="Comic Sans MS"/>
          <w:sz w:val="18"/>
          <w:szCs w:val="18"/>
        </w:rPr>
        <w:t xml:space="preserve"> Millones ($ </w:t>
      </w:r>
      <w:r w:rsidR="00B666E7">
        <w:rPr>
          <w:rFonts w:ascii="Comic Sans MS" w:hAnsi="Comic Sans MS"/>
          <w:sz w:val="18"/>
          <w:szCs w:val="18"/>
        </w:rPr>
        <w:t>11</w:t>
      </w:r>
      <w:r w:rsidRPr="002974AD">
        <w:rPr>
          <w:rFonts w:ascii="Comic Sans MS" w:hAnsi="Comic Sans MS"/>
          <w:sz w:val="18"/>
          <w:szCs w:val="18"/>
        </w:rPr>
        <w:t xml:space="preserve">.000.000,00), resultan aplicables las alícuotas </w:t>
      </w:r>
      <w:r w:rsidR="001653D7">
        <w:rPr>
          <w:rFonts w:ascii="Comic Sans MS" w:hAnsi="Comic Sans MS"/>
          <w:sz w:val="18"/>
          <w:szCs w:val="18"/>
        </w:rPr>
        <w:t>disminuidas en un 30% que constan</w:t>
      </w:r>
      <w:r w:rsidRPr="002974AD">
        <w:rPr>
          <w:rFonts w:ascii="Comic Sans MS" w:hAnsi="Comic Sans MS"/>
          <w:sz w:val="18"/>
          <w:szCs w:val="18"/>
        </w:rPr>
        <w:t xml:space="preserve"> en </w:t>
      </w:r>
      <w:r w:rsidR="001653D7">
        <w:rPr>
          <w:rFonts w:ascii="Comic Sans MS" w:hAnsi="Comic Sans MS"/>
          <w:sz w:val="18"/>
          <w:szCs w:val="18"/>
        </w:rPr>
        <w:t xml:space="preserve">el </w:t>
      </w:r>
      <w:r w:rsidR="00EF3D0E">
        <w:rPr>
          <w:rFonts w:ascii="Comic Sans MS" w:hAnsi="Comic Sans MS"/>
          <w:sz w:val="18"/>
          <w:szCs w:val="18"/>
        </w:rPr>
        <w:t>Anexo I de la</w:t>
      </w:r>
      <w:r w:rsidR="001653D7">
        <w:rPr>
          <w:rFonts w:ascii="Comic Sans MS" w:hAnsi="Comic Sans MS"/>
          <w:sz w:val="18"/>
          <w:szCs w:val="18"/>
        </w:rPr>
        <w:t xml:space="preserve"> </w:t>
      </w:r>
      <w:r w:rsidR="00EF3D0E">
        <w:rPr>
          <w:rFonts w:ascii="Comic Sans MS" w:hAnsi="Comic Sans MS"/>
          <w:sz w:val="18"/>
          <w:szCs w:val="18"/>
        </w:rPr>
        <w:t xml:space="preserve"> ley en la columna titulada “</w:t>
      </w:r>
      <w:proofErr w:type="spellStart"/>
      <w:r w:rsidR="00EF3D0E">
        <w:rPr>
          <w:rFonts w:ascii="Comic Sans MS" w:hAnsi="Comic Sans MS"/>
          <w:sz w:val="18"/>
          <w:szCs w:val="18"/>
        </w:rPr>
        <w:t>Alicuotas</w:t>
      </w:r>
      <w:proofErr w:type="spellEnd"/>
      <w:r w:rsidR="00EF3D0E">
        <w:rPr>
          <w:rFonts w:ascii="Comic Sans MS" w:hAnsi="Comic Sans MS"/>
          <w:sz w:val="18"/>
          <w:szCs w:val="18"/>
        </w:rPr>
        <w:t xml:space="preserve"> Reducidas – Art. 36 de la Ley Impositiva 1059</w:t>
      </w:r>
      <w:r w:rsidR="00B666E7">
        <w:rPr>
          <w:rFonts w:ascii="Comic Sans MS" w:hAnsi="Comic Sans MS"/>
          <w:sz w:val="18"/>
          <w:szCs w:val="18"/>
        </w:rPr>
        <w:t>4</w:t>
      </w:r>
      <w:r w:rsidR="00EF3D0E">
        <w:rPr>
          <w:rFonts w:ascii="Comic Sans MS" w:hAnsi="Comic Sans MS"/>
          <w:sz w:val="18"/>
          <w:szCs w:val="18"/>
        </w:rPr>
        <w:t>-“</w:t>
      </w:r>
    </w:p>
    <w:p w:rsidR="001653D7" w:rsidRDefault="001653D7" w:rsidP="00C33E91">
      <w:pPr>
        <w:rPr>
          <w:rFonts w:ascii="Comic Sans MS" w:hAnsi="Comic Sans MS"/>
          <w:sz w:val="18"/>
          <w:szCs w:val="18"/>
        </w:rPr>
      </w:pPr>
    </w:p>
    <w:p w:rsidR="001653D7" w:rsidRPr="00AB27A5" w:rsidRDefault="002974AD" w:rsidP="001653D7">
      <w:pPr>
        <w:rPr>
          <w:rFonts w:ascii="Comic Sans MS" w:hAnsi="Comic Sans MS"/>
          <w:sz w:val="18"/>
          <w:szCs w:val="18"/>
        </w:rPr>
      </w:pPr>
      <w:r w:rsidRPr="00AB27A5">
        <w:rPr>
          <w:rFonts w:ascii="Comic Sans MS" w:hAnsi="Comic Sans MS"/>
          <w:sz w:val="18"/>
          <w:szCs w:val="18"/>
        </w:rPr>
        <w:t xml:space="preserve"> </w:t>
      </w:r>
      <w:r w:rsidR="001653D7" w:rsidRPr="00AB27A5">
        <w:rPr>
          <w:rFonts w:ascii="Comic Sans MS" w:hAnsi="Comic Sans MS"/>
          <w:sz w:val="18"/>
          <w:szCs w:val="18"/>
        </w:rPr>
        <w:t xml:space="preserve"> </w:t>
      </w:r>
      <w:r w:rsidRPr="00AB27A5">
        <w:rPr>
          <w:rFonts w:ascii="Comic Sans MS" w:hAnsi="Comic Sans MS"/>
          <w:sz w:val="18"/>
          <w:szCs w:val="18"/>
        </w:rPr>
        <w:t xml:space="preserve">(**) Artículo </w:t>
      </w:r>
      <w:r w:rsidR="001653D7" w:rsidRPr="00AB27A5">
        <w:rPr>
          <w:rFonts w:ascii="Comic Sans MS" w:hAnsi="Comic Sans MS"/>
          <w:sz w:val="18"/>
          <w:szCs w:val="18"/>
        </w:rPr>
        <w:t>38</w:t>
      </w:r>
      <w:r w:rsidRPr="00AB27A5">
        <w:rPr>
          <w:rFonts w:ascii="Comic Sans MS" w:hAnsi="Comic Sans MS"/>
          <w:sz w:val="18"/>
          <w:szCs w:val="18"/>
        </w:rPr>
        <w:t>.- En el caso de contribuyentes cuya sumatoria de bases imponibles, declaradas o determinadas por la Dirección para el ejercicio fiscal 201</w:t>
      </w:r>
      <w:r w:rsidR="007C1EAE">
        <w:rPr>
          <w:rFonts w:ascii="Comic Sans MS" w:hAnsi="Comic Sans MS"/>
          <w:sz w:val="18"/>
          <w:szCs w:val="18"/>
        </w:rPr>
        <w:t>8</w:t>
      </w:r>
      <w:r w:rsidRPr="00AB27A5">
        <w:rPr>
          <w:rFonts w:ascii="Comic Sans MS" w:hAnsi="Comic Sans MS"/>
          <w:sz w:val="18"/>
          <w:szCs w:val="18"/>
        </w:rPr>
        <w:t>, atribuibles a la totalidad de actividades desarrolladas -incluidas las que corresponderían a las exentas y/o no gravadas-, cualquiera sea la jurisdicción en que se lleven a cabo las mismas, supere la suma de Pesos Ciento</w:t>
      </w:r>
      <w:r w:rsidR="001653D7" w:rsidRPr="00AB27A5">
        <w:rPr>
          <w:rFonts w:ascii="Comic Sans MS" w:hAnsi="Comic Sans MS"/>
          <w:sz w:val="18"/>
          <w:szCs w:val="18"/>
        </w:rPr>
        <w:t xml:space="preserve"> sesenta y tres</w:t>
      </w:r>
      <w:r w:rsidRPr="00AB27A5">
        <w:rPr>
          <w:rFonts w:ascii="Comic Sans MS" w:hAnsi="Comic Sans MS"/>
          <w:sz w:val="18"/>
          <w:szCs w:val="18"/>
        </w:rPr>
        <w:t xml:space="preserve"> Millones ($ 1</w:t>
      </w:r>
      <w:r w:rsidR="001653D7" w:rsidRPr="00AB27A5">
        <w:rPr>
          <w:rFonts w:ascii="Comic Sans MS" w:hAnsi="Comic Sans MS"/>
          <w:sz w:val="18"/>
          <w:szCs w:val="18"/>
        </w:rPr>
        <w:t>63</w:t>
      </w:r>
      <w:r w:rsidRPr="00AB27A5">
        <w:rPr>
          <w:rFonts w:ascii="Comic Sans MS" w:hAnsi="Comic Sans MS"/>
          <w:sz w:val="18"/>
          <w:szCs w:val="18"/>
        </w:rPr>
        <w:t xml:space="preserve">.000.000,00) y realicen las actividades que, conforme la codificación prevista </w:t>
      </w:r>
      <w:r w:rsidR="001653D7" w:rsidRPr="00AB27A5">
        <w:rPr>
          <w:rFonts w:ascii="Comic Sans MS" w:hAnsi="Comic Sans MS"/>
          <w:sz w:val="18"/>
          <w:szCs w:val="18"/>
        </w:rPr>
        <w:t>en el Anexo I de la  ley en la columna titulada “</w:t>
      </w:r>
      <w:proofErr w:type="spellStart"/>
      <w:r w:rsidR="001653D7" w:rsidRPr="00AB27A5">
        <w:rPr>
          <w:rFonts w:ascii="Comic Sans MS" w:hAnsi="Comic Sans MS"/>
          <w:sz w:val="18"/>
          <w:szCs w:val="18"/>
        </w:rPr>
        <w:t>Alicuota</w:t>
      </w:r>
      <w:proofErr w:type="spellEnd"/>
      <w:r w:rsidR="001653D7" w:rsidRPr="00AB27A5">
        <w:rPr>
          <w:rFonts w:ascii="Comic Sans MS" w:hAnsi="Comic Sans MS"/>
          <w:sz w:val="18"/>
          <w:szCs w:val="18"/>
        </w:rPr>
        <w:t xml:space="preserve"> Agravada – Art. 38 de la Ley Impositiva 1059</w:t>
      </w:r>
      <w:r w:rsidR="00B666E7" w:rsidRPr="00AB27A5">
        <w:rPr>
          <w:rFonts w:ascii="Comic Sans MS" w:hAnsi="Comic Sans MS"/>
          <w:sz w:val="18"/>
          <w:szCs w:val="18"/>
        </w:rPr>
        <w:t>4</w:t>
      </w:r>
      <w:r w:rsidR="001653D7" w:rsidRPr="00AB27A5">
        <w:rPr>
          <w:rFonts w:ascii="Comic Sans MS" w:hAnsi="Comic Sans MS"/>
          <w:sz w:val="18"/>
          <w:szCs w:val="18"/>
        </w:rPr>
        <w:t>-“</w:t>
      </w:r>
      <w:r w:rsidR="00B666E7" w:rsidRPr="00AB27A5">
        <w:rPr>
          <w:rFonts w:ascii="Comic Sans MS" w:hAnsi="Comic Sans MS"/>
          <w:color w:val="000000"/>
          <w:sz w:val="18"/>
          <w:szCs w:val="18"/>
        </w:rPr>
        <w:t xml:space="preserve"> del mismo o en los tratamientos especiales previstos en los artículos 16 a 34 de esta Ley, cuando corresponda, deben aplicar para la determinación del gravamen a tributar las alícuotas especiales que a tales efectos se establecen bajo dicho título.</w:t>
      </w:r>
    </w:p>
    <w:p w:rsidR="0054622C" w:rsidRDefault="0054622C" w:rsidP="001653D7">
      <w:pPr>
        <w:rPr>
          <w:rFonts w:ascii="Comic Sans MS" w:hAnsi="Comic Sans MS"/>
          <w:sz w:val="18"/>
          <w:szCs w:val="18"/>
        </w:rPr>
      </w:pPr>
    </w:p>
    <w:p w:rsidR="00516796" w:rsidRPr="00203B84" w:rsidRDefault="00516796" w:rsidP="00702A2E">
      <w:pPr>
        <w:rPr>
          <w:sz w:val="18"/>
          <w:szCs w:val="18"/>
        </w:rPr>
      </w:pPr>
    </w:p>
    <w:p w:rsidR="00FF3FF2" w:rsidRPr="002D1A42" w:rsidRDefault="00516796" w:rsidP="0054622C">
      <w:pPr>
        <w:rPr>
          <w:rFonts w:ascii="Comic Sans MS" w:hAnsi="Comic Sans MS"/>
          <w:sz w:val="16"/>
          <w:szCs w:val="16"/>
        </w:rPr>
      </w:pPr>
      <w:r w:rsidRPr="002D1A42">
        <w:rPr>
          <w:rFonts w:ascii="Verdana" w:hAnsi="Verdana"/>
          <w:b/>
          <w:sz w:val="18"/>
          <w:szCs w:val="18"/>
        </w:rPr>
        <w:t>(***)</w:t>
      </w:r>
      <w:r w:rsidR="0054622C" w:rsidRPr="002D1A42">
        <w:rPr>
          <w:rFonts w:ascii="Verdana" w:hAnsi="Verdana"/>
          <w:color w:val="000000"/>
          <w:sz w:val="16"/>
          <w:szCs w:val="16"/>
        </w:rPr>
        <w:t xml:space="preserve"> </w:t>
      </w:r>
      <w:r w:rsidR="0054622C" w:rsidRPr="002D1A42">
        <w:rPr>
          <w:rFonts w:ascii="Verdana" w:hAnsi="Verdana"/>
          <w:b/>
          <w:color w:val="000000"/>
          <w:sz w:val="16"/>
          <w:szCs w:val="16"/>
        </w:rPr>
        <w:t>FONDO PARA EL FINANCIAMIENTO DEL SISTEMA EDUCATIVO</w:t>
      </w:r>
    </w:p>
    <w:p w:rsidR="00DA19F3" w:rsidRPr="002D1A42" w:rsidRDefault="0054622C" w:rsidP="0054622C">
      <w:pPr>
        <w:pStyle w:val="errepar3erfrancesnovedades"/>
        <w:rPr>
          <w:rFonts w:ascii="Verdana" w:hAnsi="Verdana"/>
          <w:b/>
          <w:bCs/>
          <w:sz w:val="16"/>
          <w:szCs w:val="16"/>
        </w:rPr>
      </w:pPr>
      <w:r w:rsidRPr="002D1A42">
        <w:rPr>
          <w:rFonts w:ascii="Verdana" w:hAnsi="Verdana"/>
          <w:b/>
          <w:bCs/>
          <w:sz w:val="16"/>
          <w:szCs w:val="16"/>
        </w:rPr>
        <w:t>L</w:t>
      </w:r>
      <w:r w:rsidR="00DA19F3" w:rsidRPr="002D1A42">
        <w:rPr>
          <w:rFonts w:ascii="Verdana" w:hAnsi="Verdana"/>
          <w:b/>
          <w:bCs/>
          <w:sz w:val="16"/>
          <w:szCs w:val="16"/>
        </w:rPr>
        <w:t>ey 105</w:t>
      </w:r>
      <w:r w:rsidR="002D1A42">
        <w:rPr>
          <w:rFonts w:ascii="Verdana" w:hAnsi="Verdana"/>
          <w:b/>
          <w:bCs/>
          <w:sz w:val="16"/>
          <w:szCs w:val="16"/>
        </w:rPr>
        <w:t>94</w:t>
      </w:r>
    </w:p>
    <w:p w:rsidR="002D1A42" w:rsidRPr="002D1A42" w:rsidRDefault="002D1A42" w:rsidP="002D1A42">
      <w:pPr>
        <w:spacing w:before="80"/>
        <w:ind w:left="105" w:right="105" w:firstLine="105"/>
        <w:jc w:val="both"/>
        <w:rPr>
          <w:rFonts w:ascii="Verdana" w:hAnsi="Verdana"/>
          <w:color w:val="000000"/>
          <w:sz w:val="16"/>
          <w:szCs w:val="16"/>
          <w:lang w:val="es-AR" w:eastAsia="es-AR"/>
        </w:rPr>
      </w:pPr>
      <w:r w:rsidRPr="002D1A42">
        <w:rPr>
          <w:rFonts w:ascii="Verdana" w:hAnsi="Verdana"/>
          <w:b/>
          <w:bCs/>
          <w:color w:val="000000"/>
          <w:sz w:val="16"/>
          <w:szCs w:val="16"/>
          <w:lang w:val="es-AR" w:eastAsia="es-AR"/>
        </w:rPr>
        <w:t>Art. 140 -</w:t>
      </w:r>
      <w:r w:rsidRPr="002D1A42">
        <w:rPr>
          <w:rFonts w:ascii="Verdana" w:hAnsi="Verdana"/>
          <w:color w:val="000000"/>
          <w:sz w:val="16"/>
          <w:szCs w:val="16"/>
          <w:lang w:val="es-AR" w:eastAsia="es-AR"/>
        </w:rPr>
        <w:t xml:space="preserve"> Los contribuyentes del Impuesto sobre los Ingresos Brutos cuya sumatoria de bases imponibles del referido impuesto, declaradas o determinadas por la Dirección para el Ejercicio Fiscal 2018, atribuibles a la totalidad de actividades desarrolladas -incluidas las que corresponderían a las exentas y/o no gravadas-, cualquiera sea la jurisdicción en que se lleven a cabo las mismas, no superen la suma de Pesos Nueve Millones ($ 9.000.000,00) anuales quedan exceptuados de realizar el aporte al “Fondo para el Financiamiento del Sistema Educativo de la Provincia de Córdoba -Ley </w:t>
      </w:r>
      <w:proofErr w:type="spellStart"/>
      <w:r w:rsidRPr="002D1A42">
        <w:rPr>
          <w:rFonts w:ascii="Verdana" w:hAnsi="Verdana"/>
          <w:color w:val="000000"/>
          <w:sz w:val="16"/>
          <w:szCs w:val="16"/>
          <w:lang w:val="es-AR" w:eastAsia="es-AR"/>
        </w:rPr>
        <w:t>Nº</w:t>
      </w:r>
      <w:proofErr w:type="spellEnd"/>
      <w:r w:rsidRPr="002D1A42">
        <w:rPr>
          <w:rFonts w:ascii="Verdana" w:hAnsi="Verdana"/>
          <w:color w:val="000000"/>
          <w:sz w:val="16"/>
          <w:szCs w:val="16"/>
          <w:lang w:val="es-AR" w:eastAsia="es-AR"/>
        </w:rPr>
        <w:t xml:space="preserve"> 9870-” de acuerdo a lo dispuesto por el apartado 1 del inciso a) del artículo 7 de la Ley 10012 y sus modificatorias.</w:t>
      </w:r>
    </w:p>
    <w:p w:rsidR="002D1A42" w:rsidRPr="002D1A42" w:rsidRDefault="002D1A42" w:rsidP="002D1A42">
      <w:pPr>
        <w:spacing w:before="80"/>
        <w:ind w:left="105" w:right="105" w:firstLine="105"/>
        <w:jc w:val="both"/>
        <w:rPr>
          <w:rFonts w:ascii="Verdana" w:hAnsi="Verdana"/>
          <w:color w:val="000000"/>
          <w:sz w:val="16"/>
          <w:szCs w:val="16"/>
          <w:lang w:val="es-AR" w:eastAsia="es-AR"/>
        </w:rPr>
      </w:pPr>
      <w:r w:rsidRPr="002D1A42">
        <w:rPr>
          <w:rFonts w:ascii="Verdana" w:hAnsi="Verdana"/>
          <w:color w:val="000000"/>
          <w:sz w:val="16"/>
          <w:szCs w:val="16"/>
          <w:lang w:val="es-AR" w:eastAsia="es-AR"/>
        </w:rPr>
        <w:t>Cuando el inicio de actividad tenga lugar con posterioridad al 1 de noviembre del año 2018 el referido aporte debe efectuarse a partir del primer día del cuarto mes de operaciones del contribuyente, en tanto el importe anualizado de sus ingresos brutos acumulados hasta el mes anterior no supere el límite precedentemente establecido. A efectos de determinar el referido importe anualizado de ingresos debe computarse el trimestre que se inicia a partir del mes en que se devengaran o percibieran -según corresponda-, los mismos.</w:t>
      </w:r>
    </w:p>
    <w:p w:rsidR="000E5815" w:rsidRPr="002D1A42" w:rsidRDefault="0054622C" w:rsidP="0054622C">
      <w:pPr>
        <w:pStyle w:val="textocentradonegritanovedades"/>
        <w:spacing w:before="240" w:beforeAutospacing="0" w:afterAutospacing="0"/>
        <w:ind w:left="105" w:right="105"/>
        <w:rPr>
          <w:rFonts w:ascii="Verdana" w:hAnsi="Verdana"/>
          <w:b/>
          <w:bCs/>
          <w:color w:val="000000"/>
          <w:sz w:val="16"/>
          <w:szCs w:val="16"/>
        </w:rPr>
      </w:pPr>
      <w:r w:rsidRPr="002D1A42">
        <w:rPr>
          <w:rFonts w:ascii="Verdana" w:hAnsi="Verdana"/>
          <w:b/>
          <w:bCs/>
          <w:color w:val="000000"/>
          <w:sz w:val="16"/>
          <w:szCs w:val="16"/>
        </w:rPr>
        <w:t xml:space="preserve">(***) </w:t>
      </w:r>
      <w:r w:rsidR="000E5815" w:rsidRPr="002D1A42">
        <w:rPr>
          <w:rFonts w:ascii="Verdana" w:hAnsi="Verdana"/>
          <w:b/>
          <w:bCs/>
          <w:color w:val="000000"/>
          <w:sz w:val="16"/>
          <w:szCs w:val="16"/>
        </w:rPr>
        <w:t>APORTES PARA LA INTEGRACIÓN DEL FONDO PARA EL FINANCIAMIENTO DE OBRAS DE INFRAESTRUCTURA</w:t>
      </w:r>
    </w:p>
    <w:p w:rsidR="001169F2" w:rsidRPr="002D1A42" w:rsidRDefault="001169F2" w:rsidP="000E5815">
      <w:pPr>
        <w:pStyle w:val="sangrianovedades"/>
        <w:spacing w:before="80" w:beforeAutospacing="0" w:after="0" w:afterAutospacing="0"/>
        <w:ind w:left="105" w:right="105" w:firstLine="105"/>
        <w:jc w:val="both"/>
        <w:rPr>
          <w:rStyle w:val="negritanovedades"/>
          <w:rFonts w:ascii="Verdana" w:hAnsi="Verdana"/>
          <w:b/>
          <w:bCs/>
          <w:color w:val="000000"/>
          <w:sz w:val="16"/>
          <w:szCs w:val="16"/>
        </w:rPr>
      </w:pPr>
    </w:p>
    <w:p w:rsidR="005C135D" w:rsidRPr="002D1A42" w:rsidRDefault="005C135D" w:rsidP="007F7F02">
      <w:pPr>
        <w:rPr>
          <w:rFonts w:ascii="Verdana" w:hAnsi="Verdana"/>
          <w:b/>
          <w:sz w:val="16"/>
          <w:szCs w:val="16"/>
        </w:rPr>
      </w:pPr>
      <w:r w:rsidRPr="002D1A42">
        <w:rPr>
          <w:rFonts w:ascii="Verdana" w:hAnsi="Verdana"/>
          <w:b/>
          <w:sz w:val="16"/>
          <w:szCs w:val="16"/>
        </w:rPr>
        <w:t xml:space="preserve">Ley </w:t>
      </w:r>
      <w:r w:rsidR="000169E4" w:rsidRPr="002D1A42">
        <w:rPr>
          <w:rFonts w:ascii="Verdana" w:hAnsi="Verdana"/>
          <w:b/>
          <w:sz w:val="16"/>
          <w:szCs w:val="16"/>
        </w:rPr>
        <w:t>10</w:t>
      </w:r>
      <w:r w:rsidR="001169F2" w:rsidRPr="002D1A42">
        <w:rPr>
          <w:rFonts w:ascii="Verdana" w:hAnsi="Verdana"/>
          <w:b/>
          <w:sz w:val="16"/>
          <w:szCs w:val="16"/>
        </w:rPr>
        <w:t>5</w:t>
      </w:r>
      <w:r w:rsidR="002D1A42">
        <w:rPr>
          <w:rFonts w:ascii="Verdana" w:hAnsi="Verdana"/>
          <w:b/>
          <w:sz w:val="16"/>
          <w:szCs w:val="16"/>
        </w:rPr>
        <w:t>94</w:t>
      </w:r>
    </w:p>
    <w:p w:rsidR="001169F2" w:rsidRPr="002D1A42" w:rsidRDefault="001169F2" w:rsidP="007F7F02">
      <w:pPr>
        <w:rPr>
          <w:rFonts w:ascii="Verdana" w:hAnsi="Verdana"/>
          <w:b/>
          <w:sz w:val="16"/>
          <w:szCs w:val="16"/>
        </w:rPr>
      </w:pPr>
    </w:p>
    <w:p w:rsidR="002D1A42" w:rsidRDefault="002D1A42" w:rsidP="002D1A42">
      <w:pPr>
        <w:spacing w:before="80"/>
        <w:ind w:left="105" w:right="105" w:firstLine="105"/>
        <w:jc w:val="both"/>
        <w:rPr>
          <w:rFonts w:ascii="Verdana" w:hAnsi="Verdana"/>
          <w:color w:val="000000"/>
          <w:sz w:val="16"/>
          <w:szCs w:val="16"/>
          <w:lang w:val="es-AR" w:eastAsia="es-AR"/>
        </w:rPr>
      </w:pPr>
      <w:r w:rsidRPr="002D1A42">
        <w:rPr>
          <w:rFonts w:ascii="Verdana" w:hAnsi="Verdana"/>
          <w:b/>
          <w:bCs/>
          <w:color w:val="000000"/>
          <w:sz w:val="16"/>
          <w:szCs w:val="16"/>
          <w:lang w:val="es-AR" w:eastAsia="es-AR"/>
        </w:rPr>
        <w:t>Art. 144 -</w:t>
      </w:r>
      <w:r w:rsidRPr="002D1A42">
        <w:rPr>
          <w:rFonts w:ascii="Verdana" w:hAnsi="Verdana"/>
          <w:color w:val="000000"/>
          <w:sz w:val="16"/>
          <w:szCs w:val="16"/>
          <w:lang w:val="es-AR" w:eastAsia="es-AR"/>
        </w:rPr>
        <w:t> Los contribuyentes del Impuesto sobre los Ingresos Brutos deben efectuar el aporte al “Fondo para el Financiamiento de Obras de Infraestructura” considerando los siguientes rangos de sumatoria de bases imponibles del referido impuesto, declaradas o determinadas por la Dirección para el Ejercicio Fiscal 2018, atribuibles a la totalidad de actividades desarrolladas -incluidas las que corresponderían a las exentas y/o no gravadas-, cualquiera sea la jurisdicción en que se lleven a cabo las mismas:</w:t>
      </w:r>
    </w:p>
    <w:p w:rsidR="002D1A42" w:rsidRPr="002D1A42" w:rsidRDefault="002D1A42" w:rsidP="002D1A42">
      <w:pPr>
        <w:spacing w:before="80"/>
        <w:ind w:left="105" w:right="105" w:firstLine="105"/>
        <w:jc w:val="both"/>
        <w:rPr>
          <w:rFonts w:ascii="Verdana" w:hAnsi="Verdana"/>
          <w:color w:val="000000"/>
          <w:sz w:val="16"/>
          <w:szCs w:val="16"/>
          <w:lang w:val="es-AR" w:eastAsia="es-A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6195"/>
      </w:tblGrid>
      <w:tr w:rsidR="002D1A42" w:rsidRPr="002D1A42" w:rsidTr="008621E8">
        <w:tc>
          <w:tcPr>
            <w:tcW w:w="4536" w:type="dxa"/>
            <w:shd w:val="clear" w:color="auto" w:fill="auto"/>
          </w:tcPr>
          <w:p w:rsidR="002D1A42" w:rsidRPr="002D1A42" w:rsidRDefault="002D1A42" w:rsidP="008621E8">
            <w:pPr>
              <w:rPr>
                <w:rFonts w:ascii="Comic Sans MS" w:hAnsi="Comic Sans MS"/>
                <w:sz w:val="18"/>
                <w:szCs w:val="18"/>
              </w:rPr>
            </w:pPr>
            <w:r w:rsidRPr="002D1A42">
              <w:rPr>
                <w:rFonts w:ascii="Comic Sans MS" w:hAnsi="Comic Sans MS"/>
                <w:sz w:val="18"/>
                <w:szCs w:val="18"/>
              </w:rPr>
              <w:t>SUMATORIAS DE BASES IMPONIBLES</w:t>
            </w:r>
          </w:p>
        </w:tc>
        <w:tc>
          <w:tcPr>
            <w:tcW w:w="6237" w:type="dxa"/>
            <w:shd w:val="clear" w:color="auto" w:fill="auto"/>
          </w:tcPr>
          <w:p w:rsidR="002D1A42" w:rsidRPr="002D1A42" w:rsidRDefault="002D1A42" w:rsidP="008621E8">
            <w:pPr>
              <w:rPr>
                <w:rFonts w:ascii="Comic Sans MS" w:hAnsi="Comic Sans MS"/>
                <w:sz w:val="18"/>
                <w:szCs w:val="18"/>
              </w:rPr>
            </w:pPr>
            <w:r w:rsidRPr="002D1A42">
              <w:rPr>
                <w:rFonts w:ascii="Comic Sans MS" w:hAnsi="Comic Sans MS"/>
                <w:sz w:val="18"/>
                <w:szCs w:val="18"/>
              </w:rPr>
              <w:t>PORCENTAJE DEL APORTE SOBRE EL IMPUESTO DETERMINADO</w:t>
            </w:r>
          </w:p>
        </w:tc>
      </w:tr>
      <w:tr w:rsidR="002D1A42" w:rsidRPr="002D1A42" w:rsidTr="008621E8">
        <w:trPr>
          <w:trHeight w:val="435"/>
        </w:trPr>
        <w:tc>
          <w:tcPr>
            <w:tcW w:w="4536" w:type="dxa"/>
            <w:shd w:val="clear" w:color="auto" w:fill="auto"/>
          </w:tcPr>
          <w:p w:rsidR="002D1A42" w:rsidRPr="002D1A42" w:rsidRDefault="002D1A42" w:rsidP="008621E8">
            <w:pPr>
              <w:rPr>
                <w:rFonts w:ascii="Comic Sans MS" w:hAnsi="Comic Sans MS"/>
                <w:sz w:val="18"/>
                <w:szCs w:val="18"/>
              </w:rPr>
            </w:pPr>
          </w:p>
          <w:p w:rsidR="002D1A42" w:rsidRPr="002D1A42" w:rsidRDefault="002D1A42" w:rsidP="008621E8">
            <w:pPr>
              <w:rPr>
                <w:rFonts w:ascii="Comic Sans MS" w:hAnsi="Comic Sans MS"/>
                <w:sz w:val="18"/>
                <w:szCs w:val="18"/>
              </w:rPr>
            </w:pPr>
            <w:r w:rsidRPr="002D1A42">
              <w:rPr>
                <w:rFonts w:ascii="Comic Sans MS" w:hAnsi="Comic Sans MS"/>
                <w:sz w:val="18"/>
                <w:szCs w:val="18"/>
              </w:rPr>
              <w:t xml:space="preserve">MAS DE $ 23.000.000,- Y HASTA $ </w:t>
            </w:r>
            <w:proofErr w:type="gramStart"/>
            <w:r w:rsidRPr="002D1A42">
              <w:rPr>
                <w:rFonts w:ascii="Comic Sans MS" w:hAnsi="Comic Sans MS"/>
                <w:sz w:val="18"/>
                <w:szCs w:val="18"/>
              </w:rPr>
              <w:t>163.000.000,-</w:t>
            </w:r>
            <w:proofErr w:type="gramEnd"/>
          </w:p>
        </w:tc>
        <w:tc>
          <w:tcPr>
            <w:tcW w:w="6237" w:type="dxa"/>
            <w:shd w:val="clear" w:color="auto" w:fill="auto"/>
          </w:tcPr>
          <w:p w:rsidR="002D1A42" w:rsidRPr="002D1A42" w:rsidRDefault="002D1A42" w:rsidP="008621E8">
            <w:pPr>
              <w:rPr>
                <w:rFonts w:ascii="Comic Sans MS" w:hAnsi="Comic Sans MS"/>
                <w:sz w:val="18"/>
                <w:szCs w:val="18"/>
              </w:rPr>
            </w:pPr>
          </w:p>
          <w:p w:rsidR="002D1A42" w:rsidRPr="002D1A42" w:rsidRDefault="002D1A42" w:rsidP="008621E8">
            <w:pPr>
              <w:rPr>
                <w:rFonts w:ascii="Comic Sans MS" w:hAnsi="Comic Sans MS"/>
                <w:sz w:val="18"/>
                <w:szCs w:val="18"/>
              </w:rPr>
            </w:pPr>
            <w:r w:rsidRPr="002D1A42">
              <w:rPr>
                <w:rFonts w:ascii="Comic Sans MS" w:hAnsi="Comic Sans MS"/>
                <w:sz w:val="18"/>
                <w:szCs w:val="18"/>
              </w:rPr>
              <w:t>12,50% (DOCE COMA CINCUENTA POR CIENTO)</w:t>
            </w:r>
          </w:p>
        </w:tc>
      </w:tr>
      <w:tr w:rsidR="002D1A42" w:rsidRPr="002D1A42" w:rsidTr="008621E8">
        <w:trPr>
          <w:trHeight w:val="414"/>
        </w:trPr>
        <w:tc>
          <w:tcPr>
            <w:tcW w:w="4536" w:type="dxa"/>
            <w:shd w:val="clear" w:color="auto" w:fill="auto"/>
          </w:tcPr>
          <w:p w:rsidR="002D1A42" w:rsidRPr="002D1A42" w:rsidRDefault="002D1A42" w:rsidP="008621E8">
            <w:pPr>
              <w:rPr>
                <w:rFonts w:ascii="Comic Sans MS" w:hAnsi="Comic Sans MS"/>
                <w:sz w:val="18"/>
                <w:szCs w:val="18"/>
              </w:rPr>
            </w:pPr>
          </w:p>
          <w:p w:rsidR="002D1A42" w:rsidRPr="002D1A42" w:rsidRDefault="002D1A42" w:rsidP="008621E8">
            <w:pPr>
              <w:rPr>
                <w:rFonts w:ascii="Comic Sans MS" w:hAnsi="Comic Sans MS"/>
                <w:sz w:val="18"/>
                <w:szCs w:val="18"/>
              </w:rPr>
            </w:pPr>
            <w:r w:rsidRPr="002D1A42">
              <w:rPr>
                <w:rFonts w:ascii="Comic Sans MS" w:hAnsi="Comic Sans MS"/>
                <w:sz w:val="18"/>
                <w:szCs w:val="18"/>
              </w:rPr>
              <w:t xml:space="preserve">MAS DE $ </w:t>
            </w:r>
            <w:proofErr w:type="gramStart"/>
            <w:r w:rsidRPr="002D1A42">
              <w:rPr>
                <w:rFonts w:ascii="Comic Sans MS" w:hAnsi="Comic Sans MS"/>
                <w:sz w:val="18"/>
                <w:szCs w:val="18"/>
              </w:rPr>
              <w:t>163.000.000,-</w:t>
            </w:r>
            <w:proofErr w:type="gramEnd"/>
          </w:p>
        </w:tc>
        <w:tc>
          <w:tcPr>
            <w:tcW w:w="6237" w:type="dxa"/>
            <w:shd w:val="clear" w:color="auto" w:fill="auto"/>
          </w:tcPr>
          <w:p w:rsidR="002D1A42" w:rsidRPr="002D1A42" w:rsidRDefault="002D1A42" w:rsidP="008621E8">
            <w:pPr>
              <w:rPr>
                <w:rFonts w:ascii="Comic Sans MS" w:hAnsi="Comic Sans MS"/>
                <w:sz w:val="18"/>
                <w:szCs w:val="18"/>
              </w:rPr>
            </w:pPr>
          </w:p>
          <w:p w:rsidR="002D1A42" w:rsidRPr="002D1A42" w:rsidRDefault="002D1A42" w:rsidP="008621E8">
            <w:pPr>
              <w:rPr>
                <w:rFonts w:ascii="Comic Sans MS" w:hAnsi="Comic Sans MS"/>
                <w:sz w:val="18"/>
                <w:szCs w:val="18"/>
              </w:rPr>
            </w:pPr>
            <w:r w:rsidRPr="002D1A42">
              <w:rPr>
                <w:rFonts w:ascii="Comic Sans MS" w:hAnsi="Comic Sans MS"/>
                <w:sz w:val="18"/>
                <w:szCs w:val="18"/>
              </w:rPr>
              <w:t>15,25% (QUINCE COMA VEINTICINCO POR CIENTO)</w:t>
            </w:r>
          </w:p>
        </w:tc>
      </w:tr>
    </w:tbl>
    <w:p w:rsidR="002D1A42" w:rsidRPr="002D1A42" w:rsidRDefault="002D1A42" w:rsidP="002D1A42">
      <w:pPr>
        <w:spacing w:before="105" w:after="105"/>
        <w:ind w:left="105" w:right="105"/>
        <w:rPr>
          <w:color w:val="000000"/>
          <w:lang w:val="es-AR" w:eastAsia="es-AR"/>
        </w:rPr>
      </w:pPr>
      <w:r w:rsidRPr="002D1A42">
        <w:rPr>
          <w:color w:val="000000"/>
          <w:lang w:val="es-AR" w:eastAsia="es-AR"/>
        </w:rPr>
        <w:t> </w:t>
      </w:r>
    </w:p>
    <w:p w:rsidR="002D1A42" w:rsidRPr="002D1A42" w:rsidRDefault="002D1A42" w:rsidP="002D1A42">
      <w:pPr>
        <w:spacing w:before="105" w:after="105"/>
        <w:ind w:left="105" w:right="105"/>
        <w:rPr>
          <w:color w:val="000000"/>
          <w:lang w:val="es-AR" w:eastAsia="es-AR"/>
        </w:rPr>
      </w:pPr>
      <w:r w:rsidRPr="002D1A42">
        <w:rPr>
          <w:color w:val="000000"/>
          <w:lang w:val="es-AR" w:eastAsia="es-AR"/>
        </w:rPr>
        <w:t> </w:t>
      </w:r>
    </w:p>
    <w:p w:rsidR="002D1A42" w:rsidRPr="002D1A42" w:rsidRDefault="002D1A42" w:rsidP="002D1A42">
      <w:pPr>
        <w:spacing w:before="80"/>
        <w:ind w:left="105" w:right="105" w:firstLine="105"/>
        <w:jc w:val="both"/>
        <w:rPr>
          <w:rFonts w:ascii="Verdana" w:hAnsi="Verdana"/>
          <w:color w:val="000000"/>
          <w:sz w:val="16"/>
          <w:szCs w:val="16"/>
          <w:lang w:val="es-AR" w:eastAsia="es-AR"/>
        </w:rPr>
      </w:pPr>
      <w:r w:rsidRPr="002D1A42">
        <w:rPr>
          <w:rFonts w:ascii="Verdana" w:hAnsi="Verdana"/>
          <w:color w:val="000000"/>
          <w:sz w:val="16"/>
          <w:szCs w:val="16"/>
          <w:lang w:val="es-AR" w:eastAsia="es-AR"/>
        </w:rPr>
        <w:t>Cuando el inicio de actividad tenga lugar con posterioridad al 1 de noviembre del año 2018 el aporte al “Fondo para el Financiamiento de Obras de Infraestructura” debe efectuarse a partir del primer día del cuarto mes de operaciones del contribuyente, en tanto el importe anualizado de sus ingresos brutos acumulados hasta el mes anterior se encuentre dentro de los rangos de bases imponibles previstas precedentemente. A efectos de determinar el referido importe anualizado de ingresos debe computarse el trimestre que se inicia a partir del mes en que se devengaran o percibieran -según corresponda-, los mismos.</w:t>
      </w:r>
    </w:p>
    <w:p w:rsidR="002D1A42" w:rsidRDefault="002D1A42" w:rsidP="001169F2">
      <w:pPr>
        <w:rPr>
          <w:rFonts w:ascii="Verdana" w:hAnsi="Verdana"/>
          <w:b/>
          <w:bCs/>
          <w:sz w:val="16"/>
          <w:szCs w:val="16"/>
          <w:lang w:val="es-AR"/>
        </w:rPr>
      </w:pPr>
    </w:p>
    <w:p w:rsidR="002D1A42" w:rsidRDefault="002D1A42" w:rsidP="001169F2">
      <w:pPr>
        <w:rPr>
          <w:rFonts w:ascii="Verdana" w:hAnsi="Verdana"/>
          <w:b/>
          <w:bCs/>
          <w:sz w:val="16"/>
          <w:szCs w:val="16"/>
          <w:lang w:val="es-AR"/>
        </w:rPr>
      </w:pPr>
    </w:p>
    <w:p w:rsidR="001169F2" w:rsidRPr="002D1A42" w:rsidRDefault="001169F2" w:rsidP="001169F2">
      <w:pPr>
        <w:rPr>
          <w:rFonts w:ascii="Verdana" w:hAnsi="Verdana"/>
          <w:sz w:val="16"/>
          <w:szCs w:val="16"/>
          <w:lang w:val="es-AR"/>
        </w:rPr>
      </w:pPr>
      <w:r w:rsidRPr="002D1A42">
        <w:rPr>
          <w:rFonts w:ascii="Verdana" w:hAnsi="Verdana"/>
          <w:sz w:val="16"/>
          <w:szCs w:val="16"/>
          <w:lang w:val="es-AR"/>
        </w:rPr>
        <w:t> </w:t>
      </w:r>
    </w:p>
    <w:p w:rsidR="001169F2" w:rsidRPr="002D1A42" w:rsidRDefault="001169F2" w:rsidP="001169F2">
      <w:pPr>
        <w:rPr>
          <w:rFonts w:ascii="Verdana" w:hAnsi="Verdana"/>
          <w:sz w:val="16"/>
          <w:szCs w:val="16"/>
          <w:lang w:val="es-AR"/>
        </w:rPr>
      </w:pPr>
      <w:r w:rsidRPr="002D1A42">
        <w:rPr>
          <w:rFonts w:ascii="Verdana" w:hAnsi="Verdana"/>
          <w:sz w:val="16"/>
          <w:szCs w:val="16"/>
          <w:lang w:val="es-AR"/>
        </w:rPr>
        <w:t> </w:t>
      </w:r>
    </w:p>
    <w:sectPr w:rsidR="001169F2" w:rsidRPr="002D1A42" w:rsidSect="00987AA5">
      <w:pgSz w:w="12240" w:h="15840"/>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E2"/>
    <w:rsid w:val="00002DF6"/>
    <w:rsid w:val="000119E2"/>
    <w:rsid w:val="00016959"/>
    <w:rsid w:val="000169E4"/>
    <w:rsid w:val="000E47C2"/>
    <w:rsid w:val="000E5815"/>
    <w:rsid w:val="001169F2"/>
    <w:rsid w:val="001347CD"/>
    <w:rsid w:val="00163C46"/>
    <w:rsid w:val="001653D7"/>
    <w:rsid w:val="001A33E8"/>
    <w:rsid w:val="001B012F"/>
    <w:rsid w:val="00203B84"/>
    <w:rsid w:val="0020546F"/>
    <w:rsid w:val="00217DD9"/>
    <w:rsid w:val="00222245"/>
    <w:rsid w:val="00263411"/>
    <w:rsid w:val="00274C1E"/>
    <w:rsid w:val="00292856"/>
    <w:rsid w:val="00294C3F"/>
    <w:rsid w:val="002974AD"/>
    <w:rsid w:val="002A2555"/>
    <w:rsid w:val="002D1A42"/>
    <w:rsid w:val="002E19FB"/>
    <w:rsid w:val="00320A5E"/>
    <w:rsid w:val="003440D7"/>
    <w:rsid w:val="00365618"/>
    <w:rsid w:val="00384AAB"/>
    <w:rsid w:val="003B3531"/>
    <w:rsid w:val="003C7A39"/>
    <w:rsid w:val="00416590"/>
    <w:rsid w:val="00431902"/>
    <w:rsid w:val="00450EAE"/>
    <w:rsid w:val="004858BC"/>
    <w:rsid w:val="004944A1"/>
    <w:rsid w:val="004B3B42"/>
    <w:rsid w:val="004D7D08"/>
    <w:rsid w:val="0050720D"/>
    <w:rsid w:val="00516796"/>
    <w:rsid w:val="00537D7E"/>
    <w:rsid w:val="0054622C"/>
    <w:rsid w:val="00574E7E"/>
    <w:rsid w:val="00596465"/>
    <w:rsid w:val="005A5007"/>
    <w:rsid w:val="005C135D"/>
    <w:rsid w:val="00627949"/>
    <w:rsid w:val="006341F0"/>
    <w:rsid w:val="00640F12"/>
    <w:rsid w:val="00671642"/>
    <w:rsid w:val="00687E75"/>
    <w:rsid w:val="006B4E8B"/>
    <w:rsid w:val="006F01D4"/>
    <w:rsid w:val="006F3959"/>
    <w:rsid w:val="00702A2E"/>
    <w:rsid w:val="007240DF"/>
    <w:rsid w:val="007719DF"/>
    <w:rsid w:val="007C1EAE"/>
    <w:rsid w:val="007C4990"/>
    <w:rsid w:val="007F6C8D"/>
    <w:rsid w:val="007F7F02"/>
    <w:rsid w:val="00814037"/>
    <w:rsid w:val="008621E8"/>
    <w:rsid w:val="00883589"/>
    <w:rsid w:val="00886435"/>
    <w:rsid w:val="008D6D08"/>
    <w:rsid w:val="008F273C"/>
    <w:rsid w:val="00900CF5"/>
    <w:rsid w:val="00923379"/>
    <w:rsid w:val="00932C2A"/>
    <w:rsid w:val="00947E6A"/>
    <w:rsid w:val="00977631"/>
    <w:rsid w:val="00987AA5"/>
    <w:rsid w:val="009A259C"/>
    <w:rsid w:val="009C424A"/>
    <w:rsid w:val="009D08B4"/>
    <w:rsid w:val="009F3939"/>
    <w:rsid w:val="00A9287B"/>
    <w:rsid w:val="00AA498C"/>
    <w:rsid w:val="00AB27A5"/>
    <w:rsid w:val="00AE2A54"/>
    <w:rsid w:val="00AF5E80"/>
    <w:rsid w:val="00B14BE4"/>
    <w:rsid w:val="00B62E07"/>
    <w:rsid w:val="00B666E7"/>
    <w:rsid w:val="00BB0303"/>
    <w:rsid w:val="00BF171B"/>
    <w:rsid w:val="00C25834"/>
    <w:rsid w:val="00C33E91"/>
    <w:rsid w:val="00C40744"/>
    <w:rsid w:val="00C52756"/>
    <w:rsid w:val="00C75268"/>
    <w:rsid w:val="00C8181B"/>
    <w:rsid w:val="00C832B2"/>
    <w:rsid w:val="00C905BD"/>
    <w:rsid w:val="00CB2900"/>
    <w:rsid w:val="00CC5960"/>
    <w:rsid w:val="00D02C71"/>
    <w:rsid w:val="00D81A3B"/>
    <w:rsid w:val="00D84337"/>
    <w:rsid w:val="00DA19F3"/>
    <w:rsid w:val="00DA6EC5"/>
    <w:rsid w:val="00DB5BBD"/>
    <w:rsid w:val="00DC6CD2"/>
    <w:rsid w:val="00E01174"/>
    <w:rsid w:val="00E16FFC"/>
    <w:rsid w:val="00E23B59"/>
    <w:rsid w:val="00E32471"/>
    <w:rsid w:val="00E37684"/>
    <w:rsid w:val="00E565C5"/>
    <w:rsid w:val="00E669D5"/>
    <w:rsid w:val="00E83AB7"/>
    <w:rsid w:val="00E924A9"/>
    <w:rsid w:val="00E97646"/>
    <w:rsid w:val="00EB7AAC"/>
    <w:rsid w:val="00EC7825"/>
    <w:rsid w:val="00EF3D0E"/>
    <w:rsid w:val="00F51E2F"/>
    <w:rsid w:val="00F56A2E"/>
    <w:rsid w:val="00F7009D"/>
    <w:rsid w:val="00F7751D"/>
    <w:rsid w:val="00FC7515"/>
    <w:rsid w:val="00FD5627"/>
    <w:rsid w:val="00FF3FF2"/>
    <w:rsid w:val="00FF69E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6D7241-902F-4914-ABF0-74407B5C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9E2"/>
    <w:rPr>
      <w:rFonts w:ascii="Times New Roman" w:eastAsia="Times New Roman" w:hAnsi="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9E4"/>
    <w:rPr>
      <w:rFonts w:ascii="Tahoma" w:hAnsi="Tahoma" w:cs="Tahoma"/>
      <w:sz w:val="16"/>
      <w:szCs w:val="16"/>
    </w:rPr>
  </w:style>
  <w:style w:type="character" w:customStyle="1" w:styleId="TextodegloboCar">
    <w:name w:val="Texto de globo Car"/>
    <w:link w:val="Textodeglobo"/>
    <w:uiPriority w:val="99"/>
    <w:semiHidden/>
    <w:rsid w:val="00FF69E4"/>
    <w:rPr>
      <w:rFonts w:ascii="Tahoma" w:eastAsia="Times New Roman" w:hAnsi="Tahoma" w:cs="Tahoma"/>
      <w:sz w:val="16"/>
      <w:szCs w:val="16"/>
    </w:rPr>
  </w:style>
  <w:style w:type="character" w:customStyle="1" w:styleId="negritanovedades">
    <w:name w:val="negritanovedades"/>
    <w:basedOn w:val="Fuentedeprrafopredeter"/>
    <w:rsid w:val="00977631"/>
  </w:style>
  <w:style w:type="paragraph" w:customStyle="1" w:styleId="errepar2dofrancesnovedades">
    <w:name w:val="errepar_2dofrancesnovedades"/>
    <w:basedOn w:val="Normal"/>
    <w:rsid w:val="00FF3FF2"/>
    <w:pPr>
      <w:spacing w:before="100" w:beforeAutospacing="1" w:after="100" w:afterAutospacing="1"/>
    </w:pPr>
    <w:rPr>
      <w:lang w:val="es-AR" w:eastAsia="es-AR"/>
    </w:rPr>
  </w:style>
  <w:style w:type="paragraph" w:customStyle="1" w:styleId="errepar3erfrancesnovedades">
    <w:name w:val="errepar_3erfrancesnovedades"/>
    <w:basedOn w:val="Normal"/>
    <w:rsid w:val="00FF3FF2"/>
    <w:pPr>
      <w:spacing w:before="100" w:beforeAutospacing="1" w:after="100" w:afterAutospacing="1"/>
    </w:pPr>
    <w:rPr>
      <w:lang w:val="es-AR" w:eastAsia="es-AR"/>
    </w:rPr>
  </w:style>
  <w:style w:type="paragraph" w:customStyle="1" w:styleId="errepar4tofrancesnovedades">
    <w:name w:val="errepar_4tofrancesnovedades"/>
    <w:basedOn w:val="Normal"/>
    <w:rsid w:val="00FF3FF2"/>
    <w:pPr>
      <w:spacing w:before="100" w:beforeAutospacing="1" w:after="100" w:afterAutospacing="1"/>
    </w:pPr>
    <w:rPr>
      <w:lang w:val="es-AR" w:eastAsia="es-AR"/>
    </w:rPr>
  </w:style>
  <w:style w:type="paragraph" w:customStyle="1" w:styleId="textocentradonegritanovedades">
    <w:name w:val="textocentradonegritanovedades"/>
    <w:basedOn w:val="Normal"/>
    <w:rsid w:val="000E5815"/>
    <w:pPr>
      <w:spacing w:before="100" w:beforeAutospacing="1" w:after="100" w:afterAutospacing="1"/>
    </w:pPr>
    <w:rPr>
      <w:lang w:val="es-AR" w:eastAsia="es-AR"/>
    </w:rPr>
  </w:style>
  <w:style w:type="paragraph" w:customStyle="1" w:styleId="sangrianovedades">
    <w:name w:val="sangrianovedades"/>
    <w:basedOn w:val="Normal"/>
    <w:rsid w:val="000E5815"/>
    <w:pPr>
      <w:spacing w:before="100" w:beforeAutospacing="1" w:after="100" w:afterAutospacing="1"/>
    </w:pPr>
    <w:rPr>
      <w:lang w:val="es-AR" w:eastAsia="es-AR"/>
    </w:rPr>
  </w:style>
  <w:style w:type="character" w:customStyle="1" w:styleId="apple-converted-space">
    <w:name w:val="apple-converted-space"/>
    <w:rsid w:val="000E5815"/>
  </w:style>
  <w:style w:type="paragraph" w:customStyle="1" w:styleId="errepar1erfrancesnovedades">
    <w:name w:val="errepar_1erfrancesnovedades"/>
    <w:basedOn w:val="Normal"/>
    <w:rsid w:val="000E5815"/>
    <w:pPr>
      <w:spacing w:before="100" w:beforeAutospacing="1" w:after="100" w:afterAutospacing="1"/>
    </w:pPr>
    <w:rPr>
      <w:lang w:val="es-AR" w:eastAsia="es-AR"/>
    </w:rPr>
  </w:style>
  <w:style w:type="table" w:styleId="Tablaconcuadrcula">
    <w:name w:val="Table Grid"/>
    <w:basedOn w:val="Tablanormal"/>
    <w:uiPriority w:val="59"/>
    <w:rsid w:val="005C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1A42"/>
    <w:pPr>
      <w:spacing w:before="100" w:beforeAutospacing="1" w:after="100" w:afterAutospacing="1"/>
    </w:pPr>
    <w:rPr>
      <w:lang w:val="es-AR" w:eastAsia="es-AR"/>
    </w:rPr>
  </w:style>
  <w:style w:type="paragraph" w:customStyle="1" w:styleId="tablacentrado8">
    <w:name w:val="tablacentrado8"/>
    <w:basedOn w:val="Normal"/>
    <w:rsid w:val="002D1A42"/>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5775">
      <w:bodyDiv w:val="1"/>
      <w:marLeft w:val="0"/>
      <w:marRight w:val="0"/>
      <w:marTop w:val="0"/>
      <w:marBottom w:val="0"/>
      <w:divBdr>
        <w:top w:val="none" w:sz="0" w:space="0" w:color="auto"/>
        <w:left w:val="none" w:sz="0" w:space="0" w:color="auto"/>
        <w:bottom w:val="none" w:sz="0" w:space="0" w:color="auto"/>
        <w:right w:val="none" w:sz="0" w:space="0" w:color="auto"/>
      </w:divBdr>
    </w:div>
    <w:div w:id="668482469">
      <w:bodyDiv w:val="1"/>
      <w:marLeft w:val="0"/>
      <w:marRight w:val="0"/>
      <w:marTop w:val="0"/>
      <w:marBottom w:val="0"/>
      <w:divBdr>
        <w:top w:val="none" w:sz="0" w:space="0" w:color="auto"/>
        <w:left w:val="none" w:sz="0" w:space="0" w:color="auto"/>
        <w:bottom w:val="none" w:sz="0" w:space="0" w:color="auto"/>
        <w:right w:val="none" w:sz="0" w:space="0" w:color="auto"/>
      </w:divBdr>
    </w:div>
    <w:div w:id="671369530">
      <w:bodyDiv w:val="1"/>
      <w:marLeft w:val="0"/>
      <w:marRight w:val="0"/>
      <w:marTop w:val="0"/>
      <w:marBottom w:val="0"/>
      <w:divBdr>
        <w:top w:val="none" w:sz="0" w:space="0" w:color="auto"/>
        <w:left w:val="none" w:sz="0" w:space="0" w:color="auto"/>
        <w:bottom w:val="none" w:sz="0" w:space="0" w:color="auto"/>
        <w:right w:val="none" w:sz="0" w:space="0" w:color="auto"/>
      </w:divBdr>
    </w:div>
    <w:div w:id="751388596">
      <w:bodyDiv w:val="1"/>
      <w:marLeft w:val="0"/>
      <w:marRight w:val="0"/>
      <w:marTop w:val="0"/>
      <w:marBottom w:val="0"/>
      <w:divBdr>
        <w:top w:val="none" w:sz="0" w:space="0" w:color="auto"/>
        <w:left w:val="none" w:sz="0" w:space="0" w:color="auto"/>
        <w:bottom w:val="none" w:sz="0" w:space="0" w:color="auto"/>
        <w:right w:val="none" w:sz="0" w:space="0" w:color="auto"/>
      </w:divBdr>
    </w:div>
    <w:div w:id="980572972">
      <w:bodyDiv w:val="1"/>
      <w:marLeft w:val="0"/>
      <w:marRight w:val="0"/>
      <w:marTop w:val="0"/>
      <w:marBottom w:val="0"/>
      <w:divBdr>
        <w:top w:val="none" w:sz="0" w:space="0" w:color="auto"/>
        <w:left w:val="none" w:sz="0" w:space="0" w:color="auto"/>
        <w:bottom w:val="none" w:sz="0" w:space="0" w:color="auto"/>
        <w:right w:val="none" w:sz="0" w:space="0" w:color="auto"/>
      </w:divBdr>
    </w:div>
    <w:div w:id="1078282587">
      <w:bodyDiv w:val="1"/>
      <w:marLeft w:val="0"/>
      <w:marRight w:val="0"/>
      <w:marTop w:val="0"/>
      <w:marBottom w:val="0"/>
      <w:divBdr>
        <w:top w:val="none" w:sz="0" w:space="0" w:color="auto"/>
        <w:left w:val="none" w:sz="0" w:space="0" w:color="auto"/>
        <w:bottom w:val="none" w:sz="0" w:space="0" w:color="auto"/>
        <w:right w:val="none" w:sz="0" w:space="0" w:color="auto"/>
      </w:divBdr>
    </w:div>
    <w:div w:id="139940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DF3C-F4A0-438E-ABA7-662558CC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5126</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Sajo Computacion</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cp:lastModifiedBy>FADEEAC</cp:lastModifiedBy>
  <cp:revision>2</cp:revision>
  <cp:lastPrinted>2019-02-04T17:44:00Z</cp:lastPrinted>
  <dcterms:created xsi:type="dcterms:W3CDTF">2019-02-04T18:10:00Z</dcterms:created>
  <dcterms:modified xsi:type="dcterms:W3CDTF">2019-02-04T18:10:00Z</dcterms:modified>
</cp:coreProperties>
</file>