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41B" w:rsidRDefault="0074742C">
      <w:pPr>
        <w:rPr>
          <w:i/>
          <w:u w:val="single"/>
        </w:rPr>
      </w:pPr>
      <w:bookmarkStart w:id="0" w:name="_GoBack"/>
      <w:bookmarkEnd w:id="0"/>
      <w:r>
        <w:rPr>
          <w:i/>
          <w:u w:val="single"/>
        </w:rPr>
        <w:t xml:space="preserve"> </w:t>
      </w:r>
    </w:p>
    <w:p w:rsidR="003D041B" w:rsidRDefault="003D041B">
      <w:pPr>
        <w:jc w:val="center"/>
        <w:rPr>
          <w:b/>
          <w:i/>
          <w:sz w:val="40"/>
          <w:szCs w:val="40"/>
          <w:u w:val="single"/>
        </w:rPr>
      </w:pPr>
      <w:r>
        <w:rPr>
          <w:b/>
          <w:i/>
          <w:sz w:val="40"/>
          <w:szCs w:val="40"/>
          <w:u w:val="single"/>
        </w:rPr>
        <w:t>PROVINCIA DE LA PAMPA</w:t>
      </w:r>
    </w:p>
    <w:p w:rsidR="003D041B" w:rsidRDefault="003D041B">
      <w:pPr>
        <w:jc w:val="center"/>
      </w:pPr>
    </w:p>
    <w:p w:rsidR="003D041B" w:rsidRDefault="003D041B"/>
    <w:p w:rsidR="003D041B" w:rsidRDefault="00BA7D73">
      <w:r>
        <w:rPr>
          <w:i/>
          <w:u w:val="single"/>
        </w:rPr>
        <w:t>CODIFICACION – ALICUOTAS 201</w:t>
      </w:r>
      <w:r w:rsidR="009F7E73">
        <w:rPr>
          <w:i/>
          <w:u w:val="single"/>
        </w:rPr>
        <w:t>9</w:t>
      </w:r>
      <w:r w:rsidR="003D041B">
        <w:rPr>
          <w:i/>
          <w:u w:val="single"/>
        </w:rPr>
        <w:t xml:space="preserve"> (GENERAL 2,5%)</w:t>
      </w:r>
    </w:p>
    <w:p w:rsidR="003D041B" w:rsidRDefault="003D041B"/>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819"/>
        <w:gridCol w:w="1559"/>
        <w:gridCol w:w="2694"/>
      </w:tblGrid>
      <w:tr w:rsidR="003D041B" w:rsidTr="00FF5A8F">
        <w:trPr>
          <w:cantSplit/>
          <w:trHeight w:val="352"/>
        </w:trPr>
        <w:tc>
          <w:tcPr>
            <w:tcW w:w="2235" w:type="dxa"/>
            <w:gridSpan w:val="2"/>
          </w:tcPr>
          <w:p w:rsidR="003D041B" w:rsidRDefault="003D041B">
            <w:pPr>
              <w:jc w:val="center"/>
              <w:rPr>
                <w:b/>
              </w:rPr>
            </w:pPr>
          </w:p>
          <w:p w:rsidR="003D041B" w:rsidRDefault="003D041B">
            <w:pPr>
              <w:jc w:val="center"/>
              <w:rPr>
                <w:b/>
              </w:rPr>
            </w:pPr>
            <w:r>
              <w:rPr>
                <w:b/>
              </w:rPr>
              <w:t>CODIGO</w:t>
            </w:r>
          </w:p>
        </w:tc>
        <w:tc>
          <w:tcPr>
            <w:tcW w:w="4819" w:type="dxa"/>
            <w:vMerge w:val="restart"/>
          </w:tcPr>
          <w:p w:rsidR="003D041B" w:rsidRDefault="003D041B">
            <w:pPr>
              <w:jc w:val="center"/>
              <w:rPr>
                <w:b/>
              </w:rPr>
            </w:pPr>
          </w:p>
          <w:p w:rsidR="003D041B" w:rsidRDefault="003D041B">
            <w:pPr>
              <w:jc w:val="center"/>
              <w:rPr>
                <w:b/>
              </w:rPr>
            </w:pPr>
            <w:r>
              <w:rPr>
                <w:b/>
              </w:rPr>
              <w:t>DESCRIPCION</w:t>
            </w:r>
          </w:p>
        </w:tc>
        <w:tc>
          <w:tcPr>
            <w:tcW w:w="1559" w:type="dxa"/>
            <w:vMerge w:val="restart"/>
          </w:tcPr>
          <w:p w:rsidR="003D041B" w:rsidRDefault="003D041B">
            <w:pPr>
              <w:jc w:val="center"/>
              <w:rPr>
                <w:b/>
              </w:rPr>
            </w:pPr>
          </w:p>
          <w:p w:rsidR="003D041B" w:rsidRDefault="003D041B">
            <w:pPr>
              <w:jc w:val="center"/>
              <w:rPr>
                <w:b/>
              </w:rPr>
            </w:pPr>
            <w:r>
              <w:rPr>
                <w:b/>
              </w:rPr>
              <w:t>ALICUOTA</w:t>
            </w:r>
          </w:p>
          <w:p w:rsidR="0038148E" w:rsidRDefault="00E7707F">
            <w:pPr>
              <w:jc w:val="center"/>
              <w:rPr>
                <w:b/>
              </w:rPr>
            </w:pPr>
            <w:r>
              <w:rPr>
                <w:b/>
              </w:rPr>
              <w:t>(**)</w:t>
            </w:r>
          </w:p>
        </w:tc>
        <w:tc>
          <w:tcPr>
            <w:tcW w:w="2694" w:type="dxa"/>
            <w:vMerge w:val="restart"/>
          </w:tcPr>
          <w:p w:rsidR="003D041B" w:rsidRDefault="003D041B">
            <w:pPr>
              <w:jc w:val="center"/>
              <w:rPr>
                <w:b/>
              </w:rPr>
            </w:pPr>
          </w:p>
          <w:p w:rsidR="003D041B" w:rsidRDefault="003D041B">
            <w:pPr>
              <w:jc w:val="center"/>
              <w:rPr>
                <w:b/>
              </w:rPr>
            </w:pPr>
            <w:r>
              <w:rPr>
                <w:b/>
              </w:rPr>
              <w:t>OBSERVACIONES</w:t>
            </w:r>
          </w:p>
        </w:tc>
      </w:tr>
      <w:tr w:rsidR="003D041B" w:rsidTr="00FF5A8F">
        <w:trPr>
          <w:cantSplit/>
          <w:trHeight w:val="351"/>
        </w:trPr>
        <w:tc>
          <w:tcPr>
            <w:tcW w:w="1101" w:type="dxa"/>
          </w:tcPr>
          <w:p w:rsidR="003D041B" w:rsidRDefault="003D041B">
            <w:pPr>
              <w:jc w:val="center"/>
              <w:rPr>
                <w:b/>
              </w:rPr>
            </w:pPr>
            <w:r>
              <w:rPr>
                <w:b/>
              </w:rPr>
              <w:t>C.M.</w:t>
            </w:r>
          </w:p>
        </w:tc>
        <w:tc>
          <w:tcPr>
            <w:tcW w:w="1134" w:type="dxa"/>
          </w:tcPr>
          <w:p w:rsidR="003D041B" w:rsidRDefault="003D041B">
            <w:pPr>
              <w:jc w:val="center"/>
              <w:rPr>
                <w:b/>
              </w:rPr>
            </w:pPr>
            <w:r>
              <w:rPr>
                <w:b/>
              </w:rPr>
              <w:t>PCIA.</w:t>
            </w:r>
          </w:p>
        </w:tc>
        <w:tc>
          <w:tcPr>
            <w:tcW w:w="4819" w:type="dxa"/>
            <w:vMerge/>
          </w:tcPr>
          <w:p w:rsidR="003D041B" w:rsidRDefault="003D041B">
            <w:pPr>
              <w:jc w:val="center"/>
              <w:rPr>
                <w:b/>
              </w:rPr>
            </w:pPr>
          </w:p>
        </w:tc>
        <w:tc>
          <w:tcPr>
            <w:tcW w:w="1559" w:type="dxa"/>
            <w:vMerge/>
          </w:tcPr>
          <w:p w:rsidR="003D041B" w:rsidRDefault="003D041B">
            <w:pPr>
              <w:jc w:val="center"/>
              <w:rPr>
                <w:b/>
              </w:rPr>
            </w:pPr>
          </w:p>
        </w:tc>
        <w:tc>
          <w:tcPr>
            <w:tcW w:w="2694" w:type="dxa"/>
            <w:vMerge/>
          </w:tcPr>
          <w:p w:rsidR="003D041B" w:rsidRDefault="003D041B">
            <w:pPr>
              <w:jc w:val="center"/>
              <w:rPr>
                <w:b/>
              </w:rPr>
            </w:pPr>
          </w:p>
        </w:tc>
      </w:tr>
      <w:tr w:rsidR="00FF5A8F" w:rsidRPr="001B72CD" w:rsidTr="00FF5A8F">
        <w:trPr>
          <w:cantSplit/>
          <w:trHeight w:val="467"/>
        </w:trPr>
        <w:tc>
          <w:tcPr>
            <w:tcW w:w="1101" w:type="dxa"/>
          </w:tcPr>
          <w:p w:rsidR="001C434B" w:rsidRDefault="001C434B">
            <w:pPr>
              <w:jc w:val="center"/>
              <w:rPr>
                <w:sz w:val="20"/>
                <w:szCs w:val="20"/>
              </w:rPr>
            </w:pPr>
          </w:p>
          <w:p w:rsidR="00FF5A8F" w:rsidRDefault="000A583C">
            <w:pPr>
              <w:jc w:val="center"/>
              <w:rPr>
                <w:sz w:val="20"/>
                <w:szCs w:val="20"/>
              </w:rPr>
            </w:pPr>
            <w:r>
              <w:rPr>
                <w:sz w:val="20"/>
                <w:szCs w:val="20"/>
              </w:rPr>
              <w:t>492210</w:t>
            </w:r>
          </w:p>
        </w:tc>
        <w:tc>
          <w:tcPr>
            <w:tcW w:w="1134" w:type="dxa"/>
          </w:tcPr>
          <w:p w:rsidR="001C434B" w:rsidRDefault="001C434B">
            <w:pPr>
              <w:jc w:val="center"/>
              <w:rPr>
                <w:sz w:val="20"/>
                <w:szCs w:val="20"/>
              </w:rPr>
            </w:pPr>
          </w:p>
          <w:p w:rsidR="00FF5A8F" w:rsidRDefault="00FF5A8F">
            <w:pPr>
              <w:jc w:val="center"/>
              <w:rPr>
                <w:sz w:val="20"/>
                <w:szCs w:val="20"/>
              </w:rPr>
            </w:pPr>
            <w:r>
              <w:rPr>
                <w:sz w:val="20"/>
                <w:szCs w:val="20"/>
              </w:rPr>
              <w:t>492210</w:t>
            </w:r>
          </w:p>
        </w:tc>
        <w:tc>
          <w:tcPr>
            <w:tcW w:w="4819" w:type="dxa"/>
          </w:tcPr>
          <w:p w:rsidR="001C434B" w:rsidRDefault="001C434B" w:rsidP="00247CE8">
            <w:pPr>
              <w:rPr>
                <w:sz w:val="20"/>
                <w:szCs w:val="20"/>
              </w:rPr>
            </w:pPr>
          </w:p>
          <w:p w:rsidR="00FF5A8F" w:rsidRDefault="00FF5A8F" w:rsidP="00247CE8">
            <w:pPr>
              <w:rPr>
                <w:sz w:val="20"/>
                <w:szCs w:val="20"/>
              </w:rPr>
            </w:pPr>
            <w:r>
              <w:rPr>
                <w:sz w:val="20"/>
                <w:szCs w:val="20"/>
              </w:rPr>
              <w:t xml:space="preserve">Servicio de Mudanzas </w:t>
            </w:r>
          </w:p>
        </w:tc>
        <w:tc>
          <w:tcPr>
            <w:tcW w:w="1559" w:type="dxa"/>
          </w:tcPr>
          <w:p w:rsidR="00FF5A8F" w:rsidRDefault="001B72CD" w:rsidP="001C434B">
            <w:pPr>
              <w:jc w:val="center"/>
              <w:rPr>
                <w:sz w:val="20"/>
                <w:szCs w:val="20"/>
              </w:rPr>
            </w:pPr>
            <w:r>
              <w:rPr>
                <w:sz w:val="20"/>
                <w:szCs w:val="20"/>
              </w:rPr>
              <w:t>3</w:t>
            </w:r>
            <w:r w:rsidR="00FF5A8F">
              <w:rPr>
                <w:sz w:val="20"/>
                <w:szCs w:val="20"/>
              </w:rPr>
              <w:t xml:space="preserve"> %</w:t>
            </w:r>
          </w:p>
          <w:p w:rsidR="000B56EC" w:rsidRDefault="001C434B" w:rsidP="001C434B">
            <w:pPr>
              <w:jc w:val="center"/>
              <w:rPr>
                <w:sz w:val="20"/>
                <w:szCs w:val="20"/>
              </w:rPr>
            </w:pPr>
            <w:r>
              <w:rPr>
                <w:sz w:val="20"/>
                <w:szCs w:val="20"/>
              </w:rPr>
              <w:t>o</w:t>
            </w:r>
          </w:p>
          <w:p w:rsidR="001C434B" w:rsidRDefault="000B56EC" w:rsidP="001C434B">
            <w:pPr>
              <w:jc w:val="center"/>
              <w:rPr>
                <w:sz w:val="20"/>
                <w:szCs w:val="20"/>
              </w:rPr>
            </w:pPr>
            <w:r>
              <w:rPr>
                <w:sz w:val="20"/>
                <w:szCs w:val="20"/>
              </w:rPr>
              <w:t>3,9</w:t>
            </w:r>
            <w:r w:rsidR="001C434B">
              <w:rPr>
                <w:sz w:val="20"/>
                <w:szCs w:val="20"/>
              </w:rPr>
              <w:t xml:space="preserve"> </w:t>
            </w:r>
            <w:r>
              <w:rPr>
                <w:sz w:val="20"/>
                <w:szCs w:val="20"/>
              </w:rPr>
              <w:t>%</w:t>
            </w:r>
            <w:r w:rsidR="001C434B">
              <w:rPr>
                <w:sz w:val="20"/>
                <w:szCs w:val="20"/>
              </w:rPr>
              <w:t xml:space="preserve"> </w:t>
            </w:r>
          </w:p>
          <w:p w:rsidR="000B56EC" w:rsidRDefault="001C434B" w:rsidP="001C434B">
            <w:pPr>
              <w:jc w:val="center"/>
              <w:rPr>
                <w:sz w:val="20"/>
                <w:szCs w:val="20"/>
              </w:rPr>
            </w:pPr>
            <w:r w:rsidRPr="001C434B">
              <w:rPr>
                <w:b/>
                <w:sz w:val="20"/>
                <w:szCs w:val="20"/>
              </w:rPr>
              <w:t>(*)</w:t>
            </w:r>
          </w:p>
          <w:p w:rsidR="00FF5A8F" w:rsidRDefault="00FF5A8F">
            <w:pPr>
              <w:jc w:val="center"/>
              <w:rPr>
                <w:sz w:val="20"/>
                <w:szCs w:val="20"/>
              </w:rPr>
            </w:pPr>
          </w:p>
        </w:tc>
        <w:tc>
          <w:tcPr>
            <w:tcW w:w="2694" w:type="dxa"/>
            <w:vMerge w:val="restart"/>
          </w:tcPr>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FF5A8F" w:rsidRPr="001B72CD" w:rsidRDefault="00FF5A8F" w:rsidP="001B72CD">
            <w:pPr>
              <w:jc w:val="center"/>
              <w:rPr>
                <w:sz w:val="20"/>
                <w:szCs w:val="20"/>
                <w:lang w:val="en-US"/>
              </w:rPr>
            </w:pPr>
          </w:p>
          <w:p w:rsidR="001B72CD" w:rsidRPr="001B72CD" w:rsidRDefault="00FF5A8F" w:rsidP="001B72CD">
            <w:pPr>
              <w:jc w:val="center"/>
              <w:rPr>
                <w:sz w:val="20"/>
                <w:szCs w:val="20"/>
                <w:lang w:val="en-US"/>
              </w:rPr>
            </w:pPr>
            <w:r w:rsidRPr="001B72CD">
              <w:rPr>
                <w:sz w:val="20"/>
                <w:szCs w:val="20"/>
                <w:lang w:val="en-US"/>
              </w:rPr>
              <w:t xml:space="preserve">Ley </w:t>
            </w:r>
            <w:r w:rsidR="001B72CD" w:rsidRPr="001B72CD">
              <w:rPr>
                <w:sz w:val="20"/>
                <w:szCs w:val="20"/>
                <w:lang w:val="en-US"/>
              </w:rPr>
              <w:t>3</w:t>
            </w:r>
            <w:r w:rsidR="00023A71">
              <w:rPr>
                <w:sz w:val="20"/>
                <w:szCs w:val="20"/>
                <w:lang w:val="en-US"/>
              </w:rPr>
              <w:t>143</w:t>
            </w:r>
            <w:r w:rsidR="006003E6">
              <w:rPr>
                <w:sz w:val="20"/>
                <w:szCs w:val="20"/>
                <w:lang w:val="en-US"/>
              </w:rPr>
              <w:t xml:space="preserve"> </w:t>
            </w:r>
            <w:r w:rsidR="001B72CD" w:rsidRPr="001B72CD">
              <w:rPr>
                <w:sz w:val="20"/>
                <w:szCs w:val="20"/>
                <w:lang w:val="en-US"/>
              </w:rPr>
              <w:t>art.</w:t>
            </w:r>
            <w:r w:rsidRPr="001B72CD">
              <w:rPr>
                <w:sz w:val="20"/>
                <w:szCs w:val="20"/>
                <w:lang w:val="en-US"/>
              </w:rPr>
              <w:t xml:space="preserve"> 19</w:t>
            </w:r>
            <w:r w:rsidR="001B72CD" w:rsidRPr="001B72CD">
              <w:rPr>
                <w:sz w:val="20"/>
                <w:szCs w:val="20"/>
                <w:lang w:val="en-US"/>
              </w:rPr>
              <w:t>º</w:t>
            </w:r>
          </w:p>
          <w:p w:rsidR="00FF5A8F" w:rsidRPr="001B72CD" w:rsidRDefault="00FF5A8F" w:rsidP="001B72CD">
            <w:pPr>
              <w:jc w:val="center"/>
              <w:rPr>
                <w:sz w:val="20"/>
                <w:szCs w:val="20"/>
                <w:lang w:val="en-US"/>
              </w:rPr>
            </w:pPr>
            <w:r w:rsidRPr="001B72CD">
              <w:rPr>
                <w:sz w:val="20"/>
                <w:szCs w:val="20"/>
                <w:lang w:val="en-US"/>
              </w:rPr>
              <w:t>Anexo I</w:t>
            </w:r>
          </w:p>
        </w:tc>
      </w:tr>
      <w:tr w:rsidR="001C434B" w:rsidTr="000A583C">
        <w:trPr>
          <w:cantSplit/>
          <w:trHeight w:val="390"/>
        </w:trPr>
        <w:tc>
          <w:tcPr>
            <w:tcW w:w="1101" w:type="dxa"/>
          </w:tcPr>
          <w:p w:rsidR="001C434B" w:rsidRDefault="001C434B">
            <w:pPr>
              <w:jc w:val="center"/>
              <w:rPr>
                <w:sz w:val="20"/>
                <w:szCs w:val="20"/>
              </w:rPr>
            </w:pPr>
            <w:r>
              <w:rPr>
                <w:sz w:val="20"/>
                <w:szCs w:val="20"/>
              </w:rPr>
              <w:t>492221</w:t>
            </w:r>
          </w:p>
          <w:p w:rsidR="001C434B" w:rsidRDefault="001C434B">
            <w:pPr>
              <w:jc w:val="center"/>
              <w:rPr>
                <w:sz w:val="20"/>
                <w:szCs w:val="20"/>
              </w:rPr>
            </w:pPr>
          </w:p>
        </w:tc>
        <w:tc>
          <w:tcPr>
            <w:tcW w:w="1134" w:type="dxa"/>
          </w:tcPr>
          <w:p w:rsidR="001C434B" w:rsidRDefault="001C434B">
            <w:pPr>
              <w:jc w:val="center"/>
              <w:rPr>
                <w:sz w:val="20"/>
                <w:szCs w:val="20"/>
              </w:rPr>
            </w:pPr>
            <w:r>
              <w:rPr>
                <w:sz w:val="20"/>
                <w:szCs w:val="20"/>
              </w:rPr>
              <w:t>492221</w:t>
            </w:r>
          </w:p>
        </w:tc>
        <w:tc>
          <w:tcPr>
            <w:tcW w:w="4819" w:type="dxa"/>
          </w:tcPr>
          <w:p w:rsidR="001C434B" w:rsidRDefault="001C434B">
            <w:pPr>
              <w:rPr>
                <w:sz w:val="20"/>
                <w:szCs w:val="20"/>
              </w:rPr>
            </w:pPr>
            <w:r>
              <w:rPr>
                <w:sz w:val="20"/>
                <w:szCs w:val="20"/>
              </w:rPr>
              <w:t>Servicio de transporte automotor de cereales.</w:t>
            </w:r>
          </w:p>
        </w:tc>
        <w:tc>
          <w:tcPr>
            <w:tcW w:w="1559" w:type="dxa"/>
            <w:vMerge w:val="restart"/>
          </w:tcPr>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p>
          <w:p w:rsidR="001C434B" w:rsidRDefault="001C434B">
            <w:pPr>
              <w:jc w:val="center"/>
              <w:rPr>
                <w:sz w:val="20"/>
                <w:szCs w:val="20"/>
              </w:rPr>
            </w:pPr>
            <w:r>
              <w:rPr>
                <w:sz w:val="20"/>
                <w:szCs w:val="20"/>
              </w:rPr>
              <w:t>3 %</w:t>
            </w:r>
          </w:p>
        </w:tc>
        <w:tc>
          <w:tcPr>
            <w:tcW w:w="2694" w:type="dxa"/>
            <w:vMerge/>
          </w:tcPr>
          <w:p w:rsidR="001C434B" w:rsidRDefault="001C434B">
            <w:pPr>
              <w:rPr>
                <w:sz w:val="20"/>
                <w:szCs w:val="20"/>
              </w:rPr>
            </w:pPr>
          </w:p>
        </w:tc>
      </w:tr>
      <w:tr w:rsidR="001C434B" w:rsidRPr="00BA7D73" w:rsidTr="00FF5A8F">
        <w:trPr>
          <w:cantSplit/>
          <w:trHeight w:val="474"/>
        </w:trPr>
        <w:tc>
          <w:tcPr>
            <w:tcW w:w="1101" w:type="dxa"/>
          </w:tcPr>
          <w:p w:rsidR="001C434B" w:rsidRDefault="001C434B">
            <w:pPr>
              <w:jc w:val="center"/>
              <w:rPr>
                <w:sz w:val="20"/>
                <w:szCs w:val="20"/>
              </w:rPr>
            </w:pPr>
            <w:r>
              <w:rPr>
                <w:sz w:val="20"/>
                <w:szCs w:val="20"/>
              </w:rPr>
              <w:t>492229</w:t>
            </w:r>
          </w:p>
        </w:tc>
        <w:tc>
          <w:tcPr>
            <w:tcW w:w="1134" w:type="dxa"/>
          </w:tcPr>
          <w:p w:rsidR="001C434B" w:rsidRDefault="001C434B">
            <w:pPr>
              <w:jc w:val="center"/>
              <w:rPr>
                <w:sz w:val="20"/>
                <w:szCs w:val="20"/>
              </w:rPr>
            </w:pPr>
            <w:r>
              <w:rPr>
                <w:sz w:val="20"/>
                <w:szCs w:val="20"/>
              </w:rPr>
              <w:t>492229</w:t>
            </w:r>
          </w:p>
        </w:tc>
        <w:tc>
          <w:tcPr>
            <w:tcW w:w="4819" w:type="dxa"/>
          </w:tcPr>
          <w:p w:rsidR="001C434B" w:rsidRDefault="001C434B">
            <w:pPr>
              <w:rPr>
                <w:sz w:val="20"/>
                <w:szCs w:val="20"/>
              </w:rPr>
            </w:pPr>
            <w:r>
              <w:rPr>
                <w:sz w:val="20"/>
                <w:szCs w:val="20"/>
              </w:rPr>
              <w:t>Servicio de transporte automotor de mercaderías</w:t>
            </w:r>
          </w:p>
          <w:p w:rsidR="001C434B" w:rsidRPr="00BA7D73" w:rsidRDefault="001C434B">
            <w:pPr>
              <w:rPr>
                <w:sz w:val="20"/>
                <w:szCs w:val="20"/>
                <w:lang w:val="en-US"/>
              </w:rPr>
            </w:pPr>
            <w:r w:rsidRPr="00BA7D73">
              <w:rPr>
                <w:sz w:val="20"/>
                <w:szCs w:val="20"/>
                <w:lang w:val="en-US"/>
              </w:rPr>
              <w:t>a granel N.C.P.</w:t>
            </w:r>
          </w:p>
        </w:tc>
        <w:tc>
          <w:tcPr>
            <w:tcW w:w="1559" w:type="dxa"/>
            <w:vMerge/>
          </w:tcPr>
          <w:p w:rsidR="001C434B" w:rsidRPr="00BA7D73" w:rsidRDefault="001C434B">
            <w:pPr>
              <w:jc w:val="center"/>
              <w:rPr>
                <w:sz w:val="20"/>
                <w:szCs w:val="20"/>
                <w:lang w:val="en-US"/>
              </w:rPr>
            </w:pPr>
          </w:p>
        </w:tc>
        <w:tc>
          <w:tcPr>
            <w:tcW w:w="2694" w:type="dxa"/>
            <w:vMerge/>
          </w:tcPr>
          <w:p w:rsidR="001C434B" w:rsidRPr="00BA7D73" w:rsidRDefault="001C434B">
            <w:pPr>
              <w:rPr>
                <w:sz w:val="20"/>
                <w:szCs w:val="20"/>
                <w:lang w:val="en-US"/>
              </w:rPr>
            </w:pPr>
          </w:p>
        </w:tc>
      </w:tr>
      <w:tr w:rsidR="001C434B" w:rsidRPr="00BA7D73" w:rsidTr="00FF5A8F">
        <w:trPr>
          <w:cantSplit/>
          <w:trHeight w:val="305"/>
        </w:trPr>
        <w:tc>
          <w:tcPr>
            <w:tcW w:w="1101" w:type="dxa"/>
          </w:tcPr>
          <w:p w:rsidR="001C434B" w:rsidRPr="00BA7D73" w:rsidRDefault="001C434B">
            <w:pPr>
              <w:jc w:val="center"/>
              <w:rPr>
                <w:sz w:val="20"/>
                <w:szCs w:val="20"/>
                <w:lang w:val="en-US"/>
              </w:rPr>
            </w:pPr>
            <w:r>
              <w:rPr>
                <w:sz w:val="20"/>
                <w:szCs w:val="20"/>
                <w:lang w:val="en-US"/>
              </w:rPr>
              <w:t>492240</w:t>
            </w:r>
          </w:p>
        </w:tc>
        <w:tc>
          <w:tcPr>
            <w:tcW w:w="1134" w:type="dxa"/>
          </w:tcPr>
          <w:p w:rsidR="001C434B" w:rsidRDefault="001C434B">
            <w:pPr>
              <w:jc w:val="center"/>
              <w:rPr>
                <w:sz w:val="20"/>
                <w:szCs w:val="20"/>
                <w:lang w:val="en-US"/>
              </w:rPr>
            </w:pPr>
            <w:r>
              <w:rPr>
                <w:sz w:val="20"/>
                <w:szCs w:val="20"/>
                <w:lang w:val="en-US"/>
              </w:rPr>
              <w:t>492240</w:t>
            </w:r>
          </w:p>
          <w:p w:rsidR="001C434B" w:rsidRPr="00BA7D73" w:rsidRDefault="001C434B">
            <w:pPr>
              <w:jc w:val="center"/>
              <w:rPr>
                <w:sz w:val="20"/>
                <w:szCs w:val="20"/>
                <w:lang w:val="en-US"/>
              </w:rPr>
            </w:pPr>
          </w:p>
        </w:tc>
        <w:tc>
          <w:tcPr>
            <w:tcW w:w="4819" w:type="dxa"/>
          </w:tcPr>
          <w:p w:rsidR="001C434B" w:rsidRDefault="001C434B">
            <w:pPr>
              <w:rPr>
                <w:sz w:val="20"/>
                <w:szCs w:val="20"/>
                <w:lang w:val="es-ES_tradnl"/>
              </w:rPr>
            </w:pPr>
            <w:r w:rsidRPr="00BA7D73">
              <w:rPr>
                <w:sz w:val="20"/>
                <w:szCs w:val="20"/>
                <w:lang w:val="es-ES_tradnl"/>
              </w:rPr>
              <w:t>Servicio de transporte por cami</w:t>
            </w:r>
            <w:r>
              <w:rPr>
                <w:sz w:val="20"/>
                <w:szCs w:val="20"/>
                <w:lang w:val="es-ES_tradnl"/>
              </w:rPr>
              <w:t>ón cisterna</w:t>
            </w:r>
          </w:p>
          <w:p w:rsidR="001C434B" w:rsidRPr="00BA7D73" w:rsidRDefault="001C434B">
            <w:pPr>
              <w:rPr>
                <w:sz w:val="20"/>
                <w:szCs w:val="20"/>
                <w:lang w:val="es-ES_tradnl"/>
              </w:rPr>
            </w:pPr>
          </w:p>
        </w:tc>
        <w:tc>
          <w:tcPr>
            <w:tcW w:w="1559" w:type="dxa"/>
            <w:vMerge/>
          </w:tcPr>
          <w:p w:rsidR="001C434B" w:rsidRPr="00BA7D73" w:rsidRDefault="001C434B">
            <w:pPr>
              <w:jc w:val="center"/>
              <w:rPr>
                <w:sz w:val="20"/>
                <w:szCs w:val="20"/>
                <w:lang w:val="es-ES_tradnl"/>
              </w:rPr>
            </w:pPr>
          </w:p>
        </w:tc>
        <w:tc>
          <w:tcPr>
            <w:tcW w:w="2694" w:type="dxa"/>
            <w:vMerge/>
          </w:tcPr>
          <w:p w:rsidR="001C434B" w:rsidRPr="00BA7D73" w:rsidRDefault="001C434B">
            <w:pPr>
              <w:rPr>
                <w:sz w:val="20"/>
                <w:szCs w:val="20"/>
                <w:lang w:val="es-ES_tradnl"/>
              </w:rPr>
            </w:pPr>
          </w:p>
        </w:tc>
      </w:tr>
      <w:tr w:rsidR="001C434B" w:rsidTr="00FF5A8F">
        <w:trPr>
          <w:cantSplit/>
          <w:trHeight w:val="426"/>
        </w:trPr>
        <w:tc>
          <w:tcPr>
            <w:tcW w:w="1101" w:type="dxa"/>
          </w:tcPr>
          <w:p w:rsidR="001C434B" w:rsidRDefault="001C434B">
            <w:pPr>
              <w:jc w:val="center"/>
              <w:rPr>
                <w:sz w:val="20"/>
                <w:szCs w:val="20"/>
              </w:rPr>
            </w:pPr>
            <w:r>
              <w:rPr>
                <w:sz w:val="20"/>
                <w:szCs w:val="20"/>
              </w:rPr>
              <w:t>492230</w:t>
            </w:r>
          </w:p>
        </w:tc>
        <w:tc>
          <w:tcPr>
            <w:tcW w:w="1134" w:type="dxa"/>
          </w:tcPr>
          <w:p w:rsidR="001C434B" w:rsidRDefault="001C434B">
            <w:pPr>
              <w:jc w:val="center"/>
              <w:rPr>
                <w:sz w:val="20"/>
                <w:szCs w:val="20"/>
              </w:rPr>
            </w:pPr>
            <w:r>
              <w:rPr>
                <w:sz w:val="20"/>
                <w:szCs w:val="20"/>
              </w:rPr>
              <w:t>492230</w:t>
            </w:r>
          </w:p>
        </w:tc>
        <w:tc>
          <w:tcPr>
            <w:tcW w:w="4819" w:type="dxa"/>
          </w:tcPr>
          <w:p w:rsidR="001C434B" w:rsidRDefault="001C434B">
            <w:pPr>
              <w:rPr>
                <w:sz w:val="20"/>
                <w:szCs w:val="20"/>
              </w:rPr>
            </w:pPr>
            <w:r>
              <w:rPr>
                <w:sz w:val="20"/>
                <w:szCs w:val="20"/>
              </w:rPr>
              <w:t>Servicio de transporte automotor de animales</w:t>
            </w:r>
          </w:p>
          <w:p w:rsidR="001C434B" w:rsidRDefault="001C434B">
            <w:pPr>
              <w:rPr>
                <w:sz w:val="20"/>
                <w:szCs w:val="20"/>
              </w:rPr>
            </w:pPr>
          </w:p>
        </w:tc>
        <w:tc>
          <w:tcPr>
            <w:tcW w:w="1559" w:type="dxa"/>
            <w:vMerge/>
          </w:tcPr>
          <w:p w:rsidR="001C434B" w:rsidRDefault="001C434B">
            <w:pPr>
              <w:jc w:val="center"/>
              <w:rPr>
                <w:sz w:val="20"/>
                <w:szCs w:val="20"/>
              </w:rPr>
            </w:pPr>
          </w:p>
        </w:tc>
        <w:tc>
          <w:tcPr>
            <w:tcW w:w="2694" w:type="dxa"/>
            <w:vMerge/>
          </w:tcPr>
          <w:p w:rsidR="001C434B" w:rsidRDefault="001C434B">
            <w:pPr>
              <w:rPr>
                <w:sz w:val="20"/>
                <w:szCs w:val="20"/>
              </w:rPr>
            </w:pPr>
          </w:p>
        </w:tc>
      </w:tr>
      <w:tr w:rsidR="001C434B" w:rsidTr="00247CE8">
        <w:trPr>
          <w:cantSplit/>
          <w:trHeight w:val="368"/>
        </w:trPr>
        <w:tc>
          <w:tcPr>
            <w:tcW w:w="1101" w:type="dxa"/>
          </w:tcPr>
          <w:p w:rsidR="001C434B" w:rsidRDefault="001C434B">
            <w:pPr>
              <w:jc w:val="center"/>
              <w:rPr>
                <w:sz w:val="20"/>
                <w:szCs w:val="20"/>
              </w:rPr>
            </w:pPr>
            <w:r>
              <w:rPr>
                <w:sz w:val="20"/>
                <w:szCs w:val="20"/>
              </w:rPr>
              <w:t>492280</w:t>
            </w:r>
          </w:p>
          <w:p w:rsidR="001C434B" w:rsidRDefault="001C434B">
            <w:pPr>
              <w:jc w:val="center"/>
              <w:rPr>
                <w:sz w:val="20"/>
                <w:szCs w:val="20"/>
              </w:rPr>
            </w:pPr>
          </w:p>
        </w:tc>
        <w:tc>
          <w:tcPr>
            <w:tcW w:w="1134" w:type="dxa"/>
          </w:tcPr>
          <w:p w:rsidR="001C434B" w:rsidRPr="00CD1C58" w:rsidRDefault="001C434B" w:rsidP="00CD1C58">
            <w:pPr>
              <w:jc w:val="center"/>
              <w:rPr>
                <w:sz w:val="20"/>
                <w:szCs w:val="20"/>
              </w:rPr>
            </w:pPr>
            <w:r>
              <w:rPr>
                <w:sz w:val="20"/>
                <w:szCs w:val="20"/>
              </w:rPr>
              <w:t>492280</w:t>
            </w:r>
          </w:p>
        </w:tc>
        <w:tc>
          <w:tcPr>
            <w:tcW w:w="4819" w:type="dxa"/>
          </w:tcPr>
          <w:p w:rsidR="001C434B" w:rsidRDefault="001C434B" w:rsidP="00CD1C58">
            <w:pPr>
              <w:rPr>
                <w:sz w:val="20"/>
                <w:szCs w:val="20"/>
              </w:rPr>
            </w:pPr>
            <w:r>
              <w:rPr>
                <w:sz w:val="20"/>
                <w:szCs w:val="20"/>
              </w:rPr>
              <w:t xml:space="preserve">Servicio de transporte automotor urbano de </w:t>
            </w:r>
            <w:proofErr w:type="gramStart"/>
            <w:r>
              <w:rPr>
                <w:sz w:val="20"/>
                <w:szCs w:val="20"/>
              </w:rPr>
              <w:t>cagas  NCP</w:t>
            </w:r>
            <w:proofErr w:type="gramEnd"/>
          </w:p>
        </w:tc>
        <w:tc>
          <w:tcPr>
            <w:tcW w:w="1559" w:type="dxa"/>
            <w:vMerge/>
          </w:tcPr>
          <w:p w:rsidR="001C434B" w:rsidRDefault="001C434B">
            <w:pPr>
              <w:jc w:val="center"/>
              <w:rPr>
                <w:sz w:val="20"/>
                <w:szCs w:val="20"/>
              </w:rPr>
            </w:pPr>
          </w:p>
        </w:tc>
        <w:tc>
          <w:tcPr>
            <w:tcW w:w="2694" w:type="dxa"/>
            <w:vMerge/>
          </w:tcPr>
          <w:p w:rsidR="001C434B" w:rsidRDefault="001C434B">
            <w:pPr>
              <w:rPr>
                <w:sz w:val="20"/>
                <w:szCs w:val="20"/>
              </w:rPr>
            </w:pPr>
          </w:p>
        </w:tc>
      </w:tr>
      <w:tr w:rsidR="001C434B" w:rsidTr="00FF5A8F">
        <w:trPr>
          <w:cantSplit/>
          <w:trHeight w:val="345"/>
        </w:trPr>
        <w:tc>
          <w:tcPr>
            <w:tcW w:w="1101" w:type="dxa"/>
          </w:tcPr>
          <w:p w:rsidR="001C434B" w:rsidRDefault="001C434B">
            <w:pPr>
              <w:jc w:val="center"/>
              <w:rPr>
                <w:sz w:val="20"/>
                <w:szCs w:val="20"/>
              </w:rPr>
            </w:pPr>
            <w:r>
              <w:rPr>
                <w:sz w:val="20"/>
                <w:szCs w:val="20"/>
              </w:rPr>
              <w:t>492250</w:t>
            </w:r>
          </w:p>
        </w:tc>
        <w:tc>
          <w:tcPr>
            <w:tcW w:w="1134" w:type="dxa"/>
          </w:tcPr>
          <w:p w:rsidR="001C434B" w:rsidRDefault="001C434B">
            <w:pPr>
              <w:jc w:val="center"/>
              <w:rPr>
                <w:sz w:val="20"/>
                <w:szCs w:val="20"/>
              </w:rPr>
            </w:pPr>
            <w:r>
              <w:rPr>
                <w:sz w:val="20"/>
                <w:szCs w:val="20"/>
              </w:rPr>
              <w:t>492250</w:t>
            </w:r>
          </w:p>
        </w:tc>
        <w:tc>
          <w:tcPr>
            <w:tcW w:w="4819" w:type="dxa"/>
          </w:tcPr>
          <w:p w:rsidR="001C434B" w:rsidRDefault="001C434B" w:rsidP="00FD19AC">
            <w:pPr>
              <w:rPr>
                <w:sz w:val="20"/>
                <w:szCs w:val="20"/>
              </w:rPr>
            </w:pPr>
            <w:r>
              <w:rPr>
                <w:sz w:val="20"/>
                <w:szCs w:val="20"/>
              </w:rPr>
              <w:t>Servicio de transporte automotor de mercaderías y sustancias peligrosas.</w:t>
            </w:r>
          </w:p>
        </w:tc>
        <w:tc>
          <w:tcPr>
            <w:tcW w:w="1559" w:type="dxa"/>
            <w:vMerge/>
          </w:tcPr>
          <w:p w:rsidR="001C434B" w:rsidRDefault="001C434B">
            <w:pPr>
              <w:jc w:val="center"/>
              <w:rPr>
                <w:sz w:val="20"/>
                <w:szCs w:val="20"/>
              </w:rPr>
            </w:pPr>
          </w:p>
        </w:tc>
        <w:tc>
          <w:tcPr>
            <w:tcW w:w="2694" w:type="dxa"/>
            <w:vMerge/>
          </w:tcPr>
          <w:p w:rsidR="001C434B" w:rsidRDefault="001C434B">
            <w:pPr>
              <w:rPr>
                <w:sz w:val="20"/>
                <w:szCs w:val="20"/>
              </w:rPr>
            </w:pPr>
          </w:p>
        </w:tc>
      </w:tr>
      <w:tr w:rsidR="001C434B" w:rsidTr="00247CE8">
        <w:trPr>
          <w:cantSplit/>
          <w:trHeight w:val="438"/>
        </w:trPr>
        <w:tc>
          <w:tcPr>
            <w:tcW w:w="1101" w:type="dxa"/>
          </w:tcPr>
          <w:p w:rsidR="001C434B" w:rsidRDefault="001C434B">
            <w:pPr>
              <w:jc w:val="center"/>
              <w:rPr>
                <w:sz w:val="20"/>
                <w:szCs w:val="20"/>
              </w:rPr>
            </w:pPr>
            <w:r>
              <w:rPr>
                <w:sz w:val="20"/>
                <w:szCs w:val="20"/>
              </w:rPr>
              <w:t>492291</w:t>
            </w:r>
          </w:p>
        </w:tc>
        <w:tc>
          <w:tcPr>
            <w:tcW w:w="1134" w:type="dxa"/>
          </w:tcPr>
          <w:p w:rsidR="001C434B" w:rsidRDefault="001C434B">
            <w:pPr>
              <w:jc w:val="center"/>
              <w:rPr>
                <w:sz w:val="20"/>
                <w:szCs w:val="20"/>
              </w:rPr>
            </w:pPr>
            <w:r>
              <w:rPr>
                <w:sz w:val="20"/>
                <w:szCs w:val="20"/>
              </w:rPr>
              <w:t>492291</w:t>
            </w:r>
          </w:p>
        </w:tc>
        <w:tc>
          <w:tcPr>
            <w:tcW w:w="4819" w:type="dxa"/>
          </w:tcPr>
          <w:p w:rsidR="001C434B" w:rsidRDefault="001C434B" w:rsidP="00FD19AC">
            <w:pPr>
              <w:rPr>
                <w:sz w:val="20"/>
                <w:szCs w:val="20"/>
              </w:rPr>
            </w:pPr>
            <w:r>
              <w:rPr>
                <w:sz w:val="20"/>
                <w:szCs w:val="20"/>
              </w:rPr>
              <w:t>Servicio de transporte automotor de petróleo y gas</w:t>
            </w:r>
          </w:p>
        </w:tc>
        <w:tc>
          <w:tcPr>
            <w:tcW w:w="1559" w:type="dxa"/>
            <w:vMerge/>
          </w:tcPr>
          <w:p w:rsidR="001C434B" w:rsidRDefault="001C434B">
            <w:pPr>
              <w:jc w:val="center"/>
              <w:rPr>
                <w:sz w:val="20"/>
                <w:szCs w:val="20"/>
              </w:rPr>
            </w:pPr>
          </w:p>
        </w:tc>
        <w:tc>
          <w:tcPr>
            <w:tcW w:w="2694" w:type="dxa"/>
            <w:vMerge/>
          </w:tcPr>
          <w:p w:rsidR="001C434B" w:rsidRDefault="001C434B">
            <w:pPr>
              <w:rPr>
                <w:sz w:val="20"/>
                <w:szCs w:val="20"/>
              </w:rPr>
            </w:pPr>
          </w:p>
        </w:tc>
      </w:tr>
      <w:tr w:rsidR="001C434B" w:rsidTr="00E7707F">
        <w:trPr>
          <w:cantSplit/>
          <w:trHeight w:val="426"/>
        </w:trPr>
        <w:tc>
          <w:tcPr>
            <w:tcW w:w="1101" w:type="dxa"/>
          </w:tcPr>
          <w:p w:rsidR="001C434B" w:rsidRDefault="001C434B" w:rsidP="00247CE8">
            <w:pPr>
              <w:jc w:val="center"/>
              <w:rPr>
                <w:sz w:val="20"/>
                <w:szCs w:val="20"/>
              </w:rPr>
            </w:pPr>
            <w:r>
              <w:rPr>
                <w:sz w:val="20"/>
                <w:szCs w:val="20"/>
              </w:rPr>
              <w:t>492299</w:t>
            </w:r>
          </w:p>
        </w:tc>
        <w:tc>
          <w:tcPr>
            <w:tcW w:w="1134" w:type="dxa"/>
          </w:tcPr>
          <w:p w:rsidR="001C434B" w:rsidRDefault="001C434B" w:rsidP="00247CE8">
            <w:pPr>
              <w:jc w:val="center"/>
              <w:rPr>
                <w:sz w:val="20"/>
                <w:szCs w:val="20"/>
              </w:rPr>
            </w:pPr>
            <w:r>
              <w:rPr>
                <w:sz w:val="20"/>
                <w:szCs w:val="20"/>
              </w:rPr>
              <w:t>492299</w:t>
            </w:r>
          </w:p>
        </w:tc>
        <w:tc>
          <w:tcPr>
            <w:tcW w:w="4819" w:type="dxa"/>
          </w:tcPr>
          <w:p w:rsidR="001C434B" w:rsidRDefault="001C434B" w:rsidP="00247CE8">
            <w:pPr>
              <w:rPr>
                <w:sz w:val="20"/>
                <w:szCs w:val="20"/>
              </w:rPr>
            </w:pPr>
            <w:r>
              <w:rPr>
                <w:sz w:val="20"/>
                <w:szCs w:val="20"/>
              </w:rPr>
              <w:t xml:space="preserve">Servicio de transporte </w:t>
            </w:r>
            <w:proofErr w:type="gramStart"/>
            <w:r>
              <w:rPr>
                <w:sz w:val="20"/>
                <w:szCs w:val="20"/>
              </w:rPr>
              <w:t>automotor  de</w:t>
            </w:r>
            <w:proofErr w:type="gramEnd"/>
            <w:r>
              <w:rPr>
                <w:sz w:val="20"/>
                <w:szCs w:val="20"/>
              </w:rPr>
              <w:t xml:space="preserve"> cargas  NCP</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540"/>
        </w:trPr>
        <w:tc>
          <w:tcPr>
            <w:tcW w:w="1101" w:type="dxa"/>
          </w:tcPr>
          <w:p w:rsidR="001C434B" w:rsidRDefault="001C434B" w:rsidP="00247CE8">
            <w:pPr>
              <w:jc w:val="center"/>
              <w:rPr>
                <w:sz w:val="20"/>
                <w:szCs w:val="20"/>
              </w:rPr>
            </w:pPr>
          </w:p>
          <w:p w:rsidR="001C434B" w:rsidRDefault="001C434B" w:rsidP="00247CE8">
            <w:pPr>
              <w:jc w:val="center"/>
              <w:rPr>
                <w:sz w:val="20"/>
                <w:szCs w:val="20"/>
              </w:rPr>
            </w:pPr>
            <w:r>
              <w:rPr>
                <w:sz w:val="20"/>
                <w:szCs w:val="20"/>
              </w:rPr>
              <w:t>521010</w:t>
            </w:r>
          </w:p>
        </w:tc>
        <w:tc>
          <w:tcPr>
            <w:tcW w:w="1134" w:type="dxa"/>
          </w:tcPr>
          <w:p w:rsidR="001C434B" w:rsidRDefault="001C434B" w:rsidP="00247CE8">
            <w:pPr>
              <w:jc w:val="center"/>
              <w:rPr>
                <w:sz w:val="20"/>
                <w:szCs w:val="20"/>
              </w:rPr>
            </w:pPr>
          </w:p>
          <w:p w:rsidR="001C434B" w:rsidRDefault="001C434B" w:rsidP="00247CE8">
            <w:pPr>
              <w:jc w:val="center"/>
              <w:rPr>
                <w:sz w:val="20"/>
                <w:szCs w:val="20"/>
              </w:rPr>
            </w:pPr>
            <w:r>
              <w:rPr>
                <w:sz w:val="20"/>
                <w:szCs w:val="20"/>
              </w:rPr>
              <w:t>521010</w:t>
            </w:r>
          </w:p>
        </w:tc>
        <w:tc>
          <w:tcPr>
            <w:tcW w:w="4819" w:type="dxa"/>
          </w:tcPr>
          <w:p w:rsidR="001C434B" w:rsidRDefault="001C434B" w:rsidP="00247CE8">
            <w:pPr>
              <w:rPr>
                <w:sz w:val="20"/>
                <w:szCs w:val="20"/>
              </w:rPr>
            </w:pPr>
            <w:r>
              <w:rPr>
                <w:sz w:val="20"/>
                <w:szCs w:val="20"/>
              </w:rPr>
              <w:t>Servicios de manipulación de cargas en el ámbito terrestre.</w:t>
            </w:r>
          </w:p>
        </w:tc>
        <w:tc>
          <w:tcPr>
            <w:tcW w:w="1559" w:type="dxa"/>
            <w:vMerge w:val="restart"/>
          </w:tcPr>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247CE8">
            <w:pPr>
              <w:jc w:val="center"/>
              <w:rPr>
                <w:sz w:val="20"/>
                <w:szCs w:val="20"/>
              </w:rPr>
            </w:pPr>
          </w:p>
          <w:p w:rsidR="001C434B" w:rsidRDefault="001C434B" w:rsidP="001C434B">
            <w:pPr>
              <w:jc w:val="center"/>
              <w:rPr>
                <w:sz w:val="20"/>
                <w:szCs w:val="20"/>
              </w:rPr>
            </w:pPr>
            <w:r>
              <w:rPr>
                <w:sz w:val="20"/>
                <w:szCs w:val="20"/>
              </w:rPr>
              <w:t>3 %</w:t>
            </w:r>
          </w:p>
          <w:p w:rsidR="001C434B" w:rsidRDefault="001C434B" w:rsidP="001C434B">
            <w:pPr>
              <w:jc w:val="center"/>
              <w:rPr>
                <w:sz w:val="20"/>
                <w:szCs w:val="20"/>
              </w:rPr>
            </w:pPr>
            <w:r>
              <w:rPr>
                <w:sz w:val="20"/>
                <w:szCs w:val="20"/>
              </w:rPr>
              <w:t>o</w:t>
            </w:r>
          </w:p>
          <w:p w:rsidR="001C434B" w:rsidRDefault="001C434B" w:rsidP="001C434B">
            <w:pPr>
              <w:jc w:val="center"/>
              <w:rPr>
                <w:sz w:val="20"/>
                <w:szCs w:val="20"/>
              </w:rPr>
            </w:pPr>
            <w:r>
              <w:rPr>
                <w:sz w:val="20"/>
                <w:szCs w:val="20"/>
              </w:rPr>
              <w:t xml:space="preserve">3,9 % </w:t>
            </w:r>
          </w:p>
          <w:p w:rsidR="001C434B" w:rsidRDefault="001C434B" w:rsidP="001C434B">
            <w:pPr>
              <w:jc w:val="center"/>
              <w:rPr>
                <w:sz w:val="20"/>
                <w:szCs w:val="20"/>
              </w:rPr>
            </w:pPr>
            <w:r w:rsidRPr="001C434B">
              <w:rPr>
                <w:b/>
                <w:sz w:val="20"/>
                <w:szCs w:val="20"/>
              </w:rPr>
              <w:t>(*)</w:t>
            </w:r>
          </w:p>
        </w:tc>
        <w:tc>
          <w:tcPr>
            <w:tcW w:w="2694" w:type="dxa"/>
            <w:vMerge/>
          </w:tcPr>
          <w:p w:rsidR="001C434B" w:rsidRDefault="001C434B" w:rsidP="00247CE8">
            <w:pPr>
              <w:rPr>
                <w:sz w:val="20"/>
                <w:szCs w:val="20"/>
              </w:rPr>
            </w:pPr>
          </w:p>
        </w:tc>
      </w:tr>
      <w:tr w:rsidR="001C434B" w:rsidTr="00FF5A8F">
        <w:trPr>
          <w:cantSplit/>
          <w:trHeight w:val="345"/>
        </w:trPr>
        <w:tc>
          <w:tcPr>
            <w:tcW w:w="1101" w:type="dxa"/>
          </w:tcPr>
          <w:p w:rsidR="001C434B" w:rsidRDefault="001C434B" w:rsidP="00247CE8">
            <w:pPr>
              <w:jc w:val="center"/>
              <w:rPr>
                <w:sz w:val="20"/>
                <w:szCs w:val="20"/>
              </w:rPr>
            </w:pPr>
            <w:r>
              <w:rPr>
                <w:sz w:val="20"/>
                <w:szCs w:val="20"/>
              </w:rPr>
              <w:t>522010</w:t>
            </w:r>
          </w:p>
        </w:tc>
        <w:tc>
          <w:tcPr>
            <w:tcW w:w="1134" w:type="dxa"/>
          </w:tcPr>
          <w:p w:rsidR="001C434B" w:rsidRDefault="001C434B" w:rsidP="00247CE8">
            <w:pPr>
              <w:jc w:val="center"/>
              <w:rPr>
                <w:sz w:val="20"/>
                <w:szCs w:val="20"/>
              </w:rPr>
            </w:pPr>
            <w:r>
              <w:rPr>
                <w:sz w:val="20"/>
                <w:szCs w:val="20"/>
              </w:rPr>
              <w:t>522010</w:t>
            </w:r>
          </w:p>
        </w:tc>
        <w:tc>
          <w:tcPr>
            <w:tcW w:w="4819" w:type="dxa"/>
          </w:tcPr>
          <w:p w:rsidR="001C434B" w:rsidRDefault="001C434B" w:rsidP="00247CE8">
            <w:pPr>
              <w:rPr>
                <w:sz w:val="20"/>
                <w:szCs w:val="20"/>
              </w:rPr>
            </w:pPr>
            <w:r>
              <w:rPr>
                <w:sz w:val="20"/>
                <w:szCs w:val="20"/>
              </w:rPr>
              <w:t>Servicios de almacenamiento y depósito en silos</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345"/>
        </w:trPr>
        <w:tc>
          <w:tcPr>
            <w:tcW w:w="1101" w:type="dxa"/>
          </w:tcPr>
          <w:p w:rsidR="001C434B" w:rsidRDefault="001C434B" w:rsidP="00247CE8">
            <w:pPr>
              <w:jc w:val="center"/>
              <w:rPr>
                <w:sz w:val="20"/>
                <w:szCs w:val="20"/>
              </w:rPr>
            </w:pPr>
            <w:r>
              <w:rPr>
                <w:sz w:val="20"/>
                <w:szCs w:val="20"/>
              </w:rPr>
              <w:t>522020</w:t>
            </w:r>
          </w:p>
        </w:tc>
        <w:tc>
          <w:tcPr>
            <w:tcW w:w="1134" w:type="dxa"/>
          </w:tcPr>
          <w:p w:rsidR="001C434B" w:rsidRDefault="001C434B" w:rsidP="00247CE8">
            <w:pPr>
              <w:jc w:val="center"/>
              <w:rPr>
                <w:sz w:val="20"/>
                <w:szCs w:val="20"/>
              </w:rPr>
            </w:pPr>
            <w:r>
              <w:rPr>
                <w:sz w:val="20"/>
                <w:szCs w:val="20"/>
              </w:rPr>
              <w:t>522020</w:t>
            </w:r>
          </w:p>
        </w:tc>
        <w:tc>
          <w:tcPr>
            <w:tcW w:w="4819" w:type="dxa"/>
          </w:tcPr>
          <w:p w:rsidR="001C434B" w:rsidRDefault="001C434B" w:rsidP="00247CE8">
            <w:pPr>
              <w:rPr>
                <w:sz w:val="20"/>
                <w:szCs w:val="20"/>
              </w:rPr>
            </w:pPr>
            <w:r>
              <w:rPr>
                <w:sz w:val="20"/>
                <w:szCs w:val="20"/>
              </w:rPr>
              <w:t>Servicios de almacenamiento y depósito en cámaras frigoríficas.</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150"/>
        </w:trPr>
        <w:tc>
          <w:tcPr>
            <w:tcW w:w="1101" w:type="dxa"/>
          </w:tcPr>
          <w:p w:rsidR="001C434B" w:rsidRDefault="001C434B" w:rsidP="00247CE8">
            <w:pPr>
              <w:jc w:val="center"/>
              <w:rPr>
                <w:sz w:val="20"/>
                <w:szCs w:val="20"/>
              </w:rPr>
            </w:pPr>
            <w:r>
              <w:rPr>
                <w:sz w:val="20"/>
                <w:szCs w:val="20"/>
              </w:rPr>
              <w:t>523032</w:t>
            </w:r>
          </w:p>
        </w:tc>
        <w:tc>
          <w:tcPr>
            <w:tcW w:w="1134" w:type="dxa"/>
          </w:tcPr>
          <w:p w:rsidR="001C434B" w:rsidRDefault="001C434B" w:rsidP="00247CE8">
            <w:pPr>
              <w:jc w:val="center"/>
              <w:rPr>
                <w:sz w:val="20"/>
                <w:szCs w:val="20"/>
              </w:rPr>
            </w:pPr>
            <w:r>
              <w:rPr>
                <w:sz w:val="20"/>
                <w:szCs w:val="20"/>
              </w:rPr>
              <w:t>523032</w:t>
            </w:r>
          </w:p>
        </w:tc>
        <w:tc>
          <w:tcPr>
            <w:tcW w:w="4819" w:type="dxa"/>
          </w:tcPr>
          <w:p w:rsidR="001C434B" w:rsidRDefault="001C434B" w:rsidP="00247CE8">
            <w:pPr>
              <w:rPr>
                <w:sz w:val="20"/>
                <w:szCs w:val="20"/>
              </w:rPr>
            </w:pPr>
            <w:r>
              <w:rPr>
                <w:sz w:val="20"/>
                <w:szCs w:val="20"/>
              </w:rPr>
              <w:t>Servicio de operadores logísticos seguros (OLS en el ámbito aduanero.</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E7707F">
        <w:trPr>
          <w:cantSplit/>
          <w:trHeight w:val="274"/>
        </w:trPr>
        <w:tc>
          <w:tcPr>
            <w:tcW w:w="1101" w:type="dxa"/>
          </w:tcPr>
          <w:p w:rsidR="001C434B" w:rsidRDefault="001C434B" w:rsidP="00247CE8">
            <w:pPr>
              <w:jc w:val="center"/>
              <w:rPr>
                <w:sz w:val="20"/>
                <w:szCs w:val="20"/>
              </w:rPr>
            </w:pPr>
            <w:r>
              <w:rPr>
                <w:sz w:val="20"/>
                <w:szCs w:val="20"/>
              </w:rPr>
              <w:t>523039</w:t>
            </w:r>
          </w:p>
        </w:tc>
        <w:tc>
          <w:tcPr>
            <w:tcW w:w="1134" w:type="dxa"/>
          </w:tcPr>
          <w:p w:rsidR="001C434B" w:rsidRDefault="001C434B" w:rsidP="00247CE8">
            <w:pPr>
              <w:jc w:val="center"/>
              <w:rPr>
                <w:sz w:val="20"/>
                <w:szCs w:val="20"/>
              </w:rPr>
            </w:pPr>
            <w:r>
              <w:rPr>
                <w:sz w:val="20"/>
                <w:szCs w:val="20"/>
              </w:rPr>
              <w:t>523039</w:t>
            </w:r>
          </w:p>
        </w:tc>
        <w:tc>
          <w:tcPr>
            <w:tcW w:w="4819" w:type="dxa"/>
          </w:tcPr>
          <w:p w:rsidR="001C434B" w:rsidRDefault="001C434B" w:rsidP="00247CE8">
            <w:pPr>
              <w:rPr>
                <w:sz w:val="20"/>
                <w:szCs w:val="20"/>
              </w:rPr>
            </w:pPr>
            <w:r>
              <w:rPr>
                <w:sz w:val="20"/>
                <w:szCs w:val="20"/>
              </w:rPr>
              <w:t>Servicio de operadores logísticos N.C.P.</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305"/>
        </w:trPr>
        <w:tc>
          <w:tcPr>
            <w:tcW w:w="1101" w:type="dxa"/>
          </w:tcPr>
          <w:p w:rsidR="001C434B" w:rsidRDefault="001C434B" w:rsidP="00247CE8">
            <w:pPr>
              <w:jc w:val="center"/>
              <w:rPr>
                <w:sz w:val="20"/>
                <w:szCs w:val="20"/>
              </w:rPr>
            </w:pPr>
            <w:r>
              <w:rPr>
                <w:sz w:val="20"/>
                <w:szCs w:val="20"/>
              </w:rPr>
              <w:t>523090</w:t>
            </w:r>
          </w:p>
        </w:tc>
        <w:tc>
          <w:tcPr>
            <w:tcW w:w="1134" w:type="dxa"/>
          </w:tcPr>
          <w:p w:rsidR="001C434B" w:rsidRDefault="001C434B" w:rsidP="00247CE8">
            <w:pPr>
              <w:jc w:val="center"/>
              <w:rPr>
                <w:sz w:val="20"/>
                <w:szCs w:val="20"/>
              </w:rPr>
            </w:pPr>
            <w:r>
              <w:rPr>
                <w:sz w:val="20"/>
                <w:szCs w:val="20"/>
              </w:rPr>
              <w:t>523090</w:t>
            </w:r>
          </w:p>
        </w:tc>
        <w:tc>
          <w:tcPr>
            <w:tcW w:w="4819" w:type="dxa"/>
          </w:tcPr>
          <w:p w:rsidR="001C434B" w:rsidRDefault="001C434B" w:rsidP="00247CE8">
            <w:pPr>
              <w:rPr>
                <w:sz w:val="20"/>
                <w:szCs w:val="20"/>
              </w:rPr>
            </w:pPr>
            <w:r>
              <w:rPr>
                <w:sz w:val="20"/>
                <w:szCs w:val="20"/>
              </w:rPr>
              <w:t>Servicio de gestión y logística para el transporte de mercaderías N.C.P.</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305"/>
        </w:trPr>
        <w:tc>
          <w:tcPr>
            <w:tcW w:w="1101" w:type="dxa"/>
          </w:tcPr>
          <w:p w:rsidR="001C434B" w:rsidRDefault="001C434B" w:rsidP="00247CE8">
            <w:pPr>
              <w:jc w:val="center"/>
              <w:rPr>
                <w:sz w:val="20"/>
                <w:szCs w:val="20"/>
              </w:rPr>
            </w:pPr>
            <w:r>
              <w:rPr>
                <w:sz w:val="20"/>
                <w:szCs w:val="20"/>
              </w:rPr>
              <w:t>524190</w:t>
            </w:r>
          </w:p>
        </w:tc>
        <w:tc>
          <w:tcPr>
            <w:tcW w:w="1134" w:type="dxa"/>
          </w:tcPr>
          <w:p w:rsidR="001C434B" w:rsidRDefault="001C434B" w:rsidP="00247CE8">
            <w:pPr>
              <w:jc w:val="center"/>
              <w:rPr>
                <w:sz w:val="20"/>
                <w:szCs w:val="20"/>
              </w:rPr>
            </w:pPr>
            <w:r>
              <w:rPr>
                <w:sz w:val="20"/>
                <w:szCs w:val="20"/>
              </w:rPr>
              <w:t>524190</w:t>
            </w:r>
          </w:p>
        </w:tc>
        <w:tc>
          <w:tcPr>
            <w:tcW w:w="4819" w:type="dxa"/>
          </w:tcPr>
          <w:p w:rsidR="001C434B" w:rsidRDefault="001C434B" w:rsidP="00247CE8">
            <w:pPr>
              <w:rPr>
                <w:sz w:val="20"/>
                <w:szCs w:val="20"/>
              </w:rPr>
            </w:pPr>
            <w:r>
              <w:rPr>
                <w:sz w:val="20"/>
                <w:szCs w:val="20"/>
              </w:rPr>
              <w:t>Servicios complementarios para el transporte terrestre N.C.P.</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1B72CD">
        <w:trPr>
          <w:cantSplit/>
          <w:trHeight w:val="323"/>
        </w:trPr>
        <w:tc>
          <w:tcPr>
            <w:tcW w:w="1101" w:type="dxa"/>
          </w:tcPr>
          <w:p w:rsidR="001C434B" w:rsidRDefault="001C434B" w:rsidP="00247CE8">
            <w:pPr>
              <w:jc w:val="center"/>
              <w:rPr>
                <w:sz w:val="20"/>
                <w:szCs w:val="20"/>
              </w:rPr>
            </w:pPr>
            <w:r>
              <w:rPr>
                <w:sz w:val="20"/>
                <w:szCs w:val="20"/>
              </w:rPr>
              <w:t>530010</w:t>
            </w:r>
          </w:p>
        </w:tc>
        <w:tc>
          <w:tcPr>
            <w:tcW w:w="1134" w:type="dxa"/>
          </w:tcPr>
          <w:p w:rsidR="001C434B" w:rsidRDefault="001C434B" w:rsidP="00247CE8">
            <w:pPr>
              <w:rPr>
                <w:sz w:val="20"/>
                <w:szCs w:val="20"/>
              </w:rPr>
            </w:pPr>
            <w:r>
              <w:rPr>
                <w:sz w:val="20"/>
                <w:szCs w:val="20"/>
              </w:rPr>
              <w:t xml:space="preserve">   530010</w:t>
            </w:r>
          </w:p>
          <w:p w:rsidR="001C434B" w:rsidRDefault="001C434B" w:rsidP="00247CE8">
            <w:pPr>
              <w:jc w:val="center"/>
              <w:rPr>
                <w:sz w:val="20"/>
                <w:szCs w:val="20"/>
              </w:rPr>
            </w:pPr>
          </w:p>
        </w:tc>
        <w:tc>
          <w:tcPr>
            <w:tcW w:w="4819" w:type="dxa"/>
          </w:tcPr>
          <w:p w:rsidR="001C434B" w:rsidRDefault="001C434B" w:rsidP="00247CE8">
            <w:pPr>
              <w:rPr>
                <w:sz w:val="20"/>
                <w:szCs w:val="20"/>
              </w:rPr>
            </w:pPr>
            <w:r>
              <w:rPr>
                <w:sz w:val="20"/>
                <w:szCs w:val="20"/>
              </w:rPr>
              <w:t xml:space="preserve">Servicio de correo </w:t>
            </w:r>
            <w:proofErr w:type="gramStart"/>
            <w:r>
              <w:rPr>
                <w:sz w:val="20"/>
                <w:szCs w:val="20"/>
              </w:rPr>
              <w:t>postal .</w:t>
            </w:r>
            <w:proofErr w:type="gramEnd"/>
            <w:r>
              <w:rPr>
                <w:sz w:val="20"/>
                <w:szCs w:val="20"/>
              </w:rPr>
              <w:t>-</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E7707F">
        <w:trPr>
          <w:cantSplit/>
          <w:trHeight w:val="452"/>
        </w:trPr>
        <w:tc>
          <w:tcPr>
            <w:tcW w:w="1101" w:type="dxa"/>
          </w:tcPr>
          <w:p w:rsidR="001C434B" w:rsidRDefault="001C434B" w:rsidP="00247CE8">
            <w:pPr>
              <w:jc w:val="center"/>
              <w:rPr>
                <w:sz w:val="20"/>
                <w:szCs w:val="20"/>
              </w:rPr>
            </w:pPr>
            <w:r>
              <w:rPr>
                <w:sz w:val="20"/>
                <w:szCs w:val="20"/>
              </w:rPr>
              <w:t>530090</w:t>
            </w:r>
          </w:p>
        </w:tc>
        <w:tc>
          <w:tcPr>
            <w:tcW w:w="1134" w:type="dxa"/>
          </w:tcPr>
          <w:p w:rsidR="001C434B" w:rsidRDefault="001C434B" w:rsidP="00247CE8">
            <w:pPr>
              <w:rPr>
                <w:sz w:val="20"/>
                <w:szCs w:val="20"/>
              </w:rPr>
            </w:pPr>
            <w:r>
              <w:rPr>
                <w:sz w:val="20"/>
                <w:szCs w:val="20"/>
              </w:rPr>
              <w:t xml:space="preserve">   530090</w:t>
            </w:r>
          </w:p>
        </w:tc>
        <w:tc>
          <w:tcPr>
            <w:tcW w:w="4819" w:type="dxa"/>
          </w:tcPr>
          <w:p w:rsidR="001C434B" w:rsidRDefault="001C434B" w:rsidP="00247CE8">
            <w:pPr>
              <w:rPr>
                <w:sz w:val="20"/>
                <w:szCs w:val="20"/>
              </w:rPr>
            </w:pPr>
            <w:r>
              <w:rPr>
                <w:sz w:val="20"/>
                <w:szCs w:val="20"/>
              </w:rPr>
              <w:t xml:space="preserve">Servicios de mensajerías </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565"/>
        </w:trPr>
        <w:tc>
          <w:tcPr>
            <w:tcW w:w="1101" w:type="dxa"/>
          </w:tcPr>
          <w:p w:rsidR="001C434B" w:rsidRDefault="001C434B" w:rsidP="00247CE8">
            <w:pPr>
              <w:rPr>
                <w:sz w:val="20"/>
                <w:szCs w:val="20"/>
              </w:rPr>
            </w:pPr>
            <w:r>
              <w:rPr>
                <w:sz w:val="20"/>
                <w:szCs w:val="20"/>
              </w:rPr>
              <w:t xml:space="preserve">   801010</w:t>
            </w:r>
          </w:p>
          <w:p w:rsidR="001C434B" w:rsidRDefault="001C434B" w:rsidP="00247CE8">
            <w:pPr>
              <w:rPr>
                <w:sz w:val="20"/>
                <w:szCs w:val="20"/>
              </w:rPr>
            </w:pPr>
          </w:p>
        </w:tc>
        <w:tc>
          <w:tcPr>
            <w:tcW w:w="1134" w:type="dxa"/>
          </w:tcPr>
          <w:p w:rsidR="001C434B" w:rsidRDefault="001C434B" w:rsidP="00247CE8">
            <w:pPr>
              <w:jc w:val="center"/>
              <w:rPr>
                <w:sz w:val="20"/>
                <w:szCs w:val="20"/>
              </w:rPr>
            </w:pPr>
            <w:r>
              <w:rPr>
                <w:sz w:val="20"/>
                <w:szCs w:val="20"/>
              </w:rPr>
              <w:t>801010</w:t>
            </w:r>
          </w:p>
        </w:tc>
        <w:tc>
          <w:tcPr>
            <w:tcW w:w="4819" w:type="dxa"/>
          </w:tcPr>
          <w:p w:rsidR="001C434B" w:rsidRDefault="001C434B" w:rsidP="00247CE8">
            <w:pPr>
              <w:rPr>
                <w:sz w:val="20"/>
                <w:szCs w:val="20"/>
              </w:rPr>
            </w:pPr>
            <w:r>
              <w:rPr>
                <w:sz w:val="20"/>
                <w:szCs w:val="20"/>
              </w:rPr>
              <w:t>Servicio de transporte de caudales y objetos de valor.</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956177">
        <w:trPr>
          <w:cantSplit/>
          <w:trHeight w:val="571"/>
        </w:trPr>
        <w:tc>
          <w:tcPr>
            <w:tcW w:w="1101" w:type="dxa"/>
          </w:tcPr>
          <w:p w:rsidR="001C434B" w:rsidRDefault="001C434B" w:rsidP="00247CE8">
            <w:pPr>
              <w:jc w:val="center"/>
              <w:rPr>
                <w:sz w:val="20"/>
                <w:szCs w:val="20"/>
              </w:rPr>
            </w:pPr>
            <w:r>
              <w:rPr>
                <w:sz w:val="20"/>
                <w:szCs w:val="20"/>
              </w:rPr>
              <w:t>381100</w:t>
            </w:r>
          </w:p>
        </w:tc>
        <w:tc>
          <w:tcPr>
            <w:tcW w:w="1134" w:type="dxa"/>
          </w:tcPr>
          <w:p w:rsidR="001C434B" w:rsidRDefault="001C434B" w:rsidP="00247CE8">
            <w:pPr>
              <w:jc w:val="center"/>
              <w:rPr>
                <w:sz w:val="20"/>
                <w:szCs w:val="20"/>
              </w:rPr>
            </w:pPr>
            <w:r>
              <w:rPr>
                <w:sz w:val="20"/>
                <w:szCs w:val="20"/>
              </w:rPr>
              <w:t>381100</w:t>
            </w:r>
          </w:p>
        </w:tc>
        <w:tc>
          <w:tcPr>
            <w:tcW w:w="4819" w:type="dxa"/>
          </w:tcPr>
          <w:p w:rsidR="001C434B" w:rsidRDefault="001C434B" w:rsidP="00247CE8">
            <w:pPr>
              <w:rPr>
                <w:sz w:val="20"/>
                <w:szCs w:val="20"/>
              </w:rPr>
            </w:pPr>
            <w:r>
              <w:rPr>
                <w:sz w:val="20"/>
                <w:szCs w:val="20"/>
              </w:rPr>
              <w:t>Recolección, transporte, tratamiento y disposición final de residuos no peligrosos</w:t>
            </w: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r w:rsidR="001C434B" w:rsidTr="00FF5A8F">
        <w:trPr>
          <w:cantSplit/>
          <w:trHeight w:val="662"/>
        </w:trPr>
        <w:tc>
          <w:tcPr>
            <w:tcW w:w="1101" w:type="dxa"/>
          </w:tcPr>
          <w:p w:rsidR="001C434B" w:rsidRDefault="001C434B" w:rsidP="00247CE8">
            <w:pPr>
              <w:jc w:val="center"/>
              <w:rPr>
                <w:sz w:val="20"/>
                <w:szCs w:val="20"/>
              </w:rPr>
            </w:pPr>
            <w:r>
              <w:rPr>
                <w:sz w:val="20"/>
                <w:szCs w:val="20"/>
              </w:rPr>
              <w:t>381200</w:t>
            </w:r>
          </w:p>
        </w:tc>
        <w:tc>
          <w:tcPr>
            <w:tcW w:w="1134" w:type="dxa"/>
          </w:tcPr>
          <w:p w:rsidR="001C434B" w:rsidRDefault="001C434B" w:rsidP="00247CE8">
            <w:pPr>
              <w:jc w:val="center"/>
              <w:rPr>
                <w:sz w:val="20"/>
                <w:szCs w:val="20"/>
              </w:rPr>
            </w:pPr>
            <w:r>
              <w:rPr>
                <w:sz w:val="20"/>
                <w:szCs w:val="20"/>
              </w:rPr>
              <w:t>381200</w:t>
            </w:r>
          </w:p>
        </w:tc>
        <w:tc>
          <w:tcPr>
            <w:tcW w:w="4819" w:type="dxa"/>
          </w:tcPr>
          <w:p w:rsidR="001C434B" w:rsidRPr="00FF5A8F" w:rsidRDefault="001C434B" w:rsidP="00247CE8">
            <w:pPr>
              <w:rPr>
                <w:sz w:val="20"/>
                <w:szCs w:val="20"/>
                <w:lang w:val="es-AR"/>
              </w:rPr>
            </w:pPr>
            <w:r>
              <w:rPr>
                <w:sz w:val="20"/>
                <w:szCs w:val="20"/>
              </w:rPr>
              <w:t>Recolección, transporte, tratamiento y disposición final de residuos peligrosos</w:t>
            </w:r>
            <w:r>
              <w:rPr>
                <w:sz w:val="20"/>
                <w:szCs w:val="20"/>
                <w:lang w:val="es-AR"/>
              </w:rPr>
              <w:t xml:space="preserve">. </w:t>
            </w:r>
          </w:p>
          <w:p w:rsidR="001C434B" w:rsidRDefault="001C434B" w:rsidP="00247CE8">
            <w:pPr>
              <w:rPr>
                <w:sz w:val="20"/>
                <w:szCs w:val="20"/>
              </w:rPr>
            </w:pPr>
          </w:p>
        </w:tc>
        <w:tc>
          <w:tcPr>
            <w:tcW w:w="1559" w:type="dxa"/>
            <w:vMerge/>
          </w:tcPr>
          <w:p w:rsidR="001C434B" w:rsidRDefault="001C434B" w:rsidP="00247CE8">
            <w:pPr>
              <w:jc w:val="center"/>
              <w:rPr>
                <w:sz w:val="20"/>
                <w:szCs w:val="20"/>
              </w:rPr>
            </w:pPr>
          </w:p>
        </w:tc>
        <w:tc>
          <w:tcPr>
            <w:tcW w:w="2694" w:type="dxa"/>
            <w:vMerge/>
          </w:tcPr>
          <w:p w:rsidR="001C434B" w:rsidRDefault="001C434B" w:rsidP="00247CE8">
            <w:pPr>
              <w:rPr>
                <w:sz w:val="20"/>
                <w:szCs w:val="20"/>
              </w:rPr>
            </w:pPr>
          </w:p>
        </w:tc>
      </w:tr>
    </w:tbl>
    <w:p w:rsidR="003D041B" w:rsidRDefault="003D041B">
      <w:pPr>
        <w:rPr>
          <w:sz w:val="20"/>
          <w:szCs w:val="20"/>
        </w:rPr>
      </w:pPr>
    </w:p>
    <w:p w:rsidR="003D041B" w:rsidRDefault="003D041B">
      <w:pPr>
        <w:rPr>
          <w:rFonts w:ascii="Comic Sans MS" w:hAnsi="Comic Sans MS"/>
          <w:sz w:val="18"/>
          <w:szCs w:val="18"/>
        </w:rPr>
      </w:pPr>
    </w:p>
    <w:p w:rsidR="00484FDA" w:rsidRPr="00484FDA" w:rsidRDefault="000B56EC" w:rsidP="00484FDA">
      <w:pPr>
        <w:spacing w:before="80"/>
        <w:ind w:left="105" w:right="105" w:firstLine="105"/>
        <w:jc w:val="both"/>
        <w:rPr>
          <w:rFonts w:ascii="Verdana" w:hAnsi="Verdana"/>
          <w:color w:val="000000"/>
          <w:sz w:val="16"/>
          <w:szCs w:val="16"/>
          <w:lang w:val="es-AR" w:eastAsia="es-AR"/>
        </w:rPr>
      </w:pPr>
      <w:r>
        <w:rPr>
          <w:rFonts w:ascii="Verdana" w:hAnsi="Verdana"/>
          <w:b/>
          <w:bCs/>
          <w:color w:val="000000"/>
          <w:sz w:val="16"/>
          <w:szCs w:val="16"/>
          <w:lang w:val="es-AR" w:eastAsia="es-AR"/>
        </w:rPr>
        <w:lastRenderedPageBreak/>
        <w:t xml:space="preserve">(*) </w:t>
      </w:r>
      <w:r w:rsidR="00D67666">
        <w:rPr>
          <w:rFonts w:ascii="Verdana" w:hAnsi="Verdana"/>
          <w:b/>
          <w:bCs/>
          <w:color w:val="000000"/>
          <w:sz w:val="16"/>
          <w:szCs w:val="16"/>
          <w:lang w:val="es-AR" w:eastAsia="es-AR"/>
        </w:rPr>
        <w:t>“</w:t>
      </w:r>
      <w:r w:rsidR="00484FDA" w:rsidRPr="00484FDA">
        <w:rPr>
          <w:rFonts w:ascii="Verdana" w:hAnsi="Verdana"/>
          <w:b/>
          <w:bCs/>
          <w:color w:val="000000"/>
          <w:sz w:val="16"/>
          <w:szCs w:val="16"/>
          <w:lang w:val="es-AR" w:eastAsia="es-AR"/>
        </w:rPr>
        <w:t>Art. 33 -</w:t>
      </w:r>
      <w:r w:rsidR="00484FDA" w:rsidRPr="00484FDA">
        <w:rPr>
          <w:rFonts w:ascii="Verdana" w:hAnsi="Verdana"/>
          <w:color w:val="000000"/>
          <w:sz w:val="16"/>
          <w:szCs w:val="16"/>
          <w:lang w:val="es-AR" w:eastAsia="es-AR"/>
        </w:rPr>
        <w:t> Establécese que en el caso de contribuyentes cuya sumatoria de bases imponibles, declaradas o determinadas por la Dirección General de Rentas, así como las que corresponderían a ingresos exentos y/o no gravados, para el ejercicio fiscal 201</w:t>
      </w:r>
      <w:r w:rsidR="00BE6765">
        <w:rPr>
          <w:rFonts w:ascii="Verdana" w:hAnsi="Verdana"/>
          <w:color w:val="000000"/>
          <w:sz w:val="16"/>
          <w:szCs w:val="16"/>
          <w:lang w:val="es-AR" w:eastAsia="es-AR"/>
        </w:rPr>
        <w:t>9</w:t>
      </w:r>
      <w:r w:rsidR="00484FDA" w:rsidRPr="00484FDA">
        <w:rPr>
          <w:rFonts w:ascii="Verdana" w:hAnsi="Verdana"/>
          <w:color w:val="000000"/>
          <w:sz w:val="16"/>
          <w:szCs w:val="16"/>
          <w:lang w:val="es-AR" w:eastAsia="es-AR"/>
        </w:rPr>
        <w:t>, atribuibles a la totalidad de las actividades desarrolladas, cualquiera sea la jurisdicción en que se lleven a cabo las mismas, supere la suma de pesos quinientos millones ($ 500.000.000), resultarán aplicables las alícuotas previstas para cada actividad en la Columna b) del </w:t>
      </w:r>
      <w:hyperlink r:id="rId5" w:anchor="anexoI" w:tgtFrame="_self" w:history="1">
        <w:r w:rsidR="00484FDA" w:rsidRPr="00484FDA">
          <w:rPr>
            <w:rFonts w:ascii="Verdana" w:hAnsi="Verdana"/>
            <w:color w:val="0000FF"/>
            <w:sz w:val="16"/>
            <w:szCs w:val="16"/>
            <w:u w:val="single"/>
            <w:lang w:val="es-AR" w:eastAsia="es-AR"/>
          </w:rPr>
          <w:t>Anexo I</w:t>
        </w:r>
      </w:hyperlink>
      <w:r w:rsidR="00484FDA" w:rsidRPr="00484FDA">
        <w:rPr>
          <w:rFonts w:ascii="Verdana" w:hAnsi="Verdana"/>
          <w:color w:val="000000"/>
          <w:sz w:val="16"/>
          <w:szCs w:val="16"/>
          <w:lang w:val="es-AR" w:eastAsia="es-AR"/>
        </w:rPr>
        <w:t> de la presente ley. Para el resto de las actividades sin alícuota detallada en la citada columna b) deberán aplicar las alícuotas fijadas en los artículos 20 a 25 y en la columna a) del referido </w:t>
      </w:r>
      <w:hyperlink r:id="rId6" w:anchor="anexoI" w:tgtFrame="_self" w:history="1">
        <w:r w:rsidR="00484FDA" w:rsidRPr="00484FDA">
          <w:rPr>
            <w:rFonts w:ascii="Verdana" w:hAnsi="Verdana"/>
            <w:color w:val="0000FF"/>
            <w:sz w:val="16"/>
            <w:szCs w:val="16"/>
            <w:u w:val="single"/>
            <w:lang w:val="es-AR" w:eastAsia="es-AR"/>
          </w:rPr>
          <w:t>Anexo I</w:t>
        </w:r>
      </w:hyperlink>
      <w:r w:rsidR="00484FDA" w:rsidRPr="00484FDA">
        <w:rPr>
          <w:rFonts w:ascii="Verdana" w:hAnsi="Verdana"/>
          <w:color w:val="000000"/>
          <w:sz w:val="16"/>
          <w:szCs w:val="16"/>
          <w:lang w:val="es-AR" w:eastAsia="es-AR"/>
        </w:rPr>
        <w:t>, incrementadas en un treinta por ciento (30%)</w:t>
      </w:r>
      <w:r w:rsidR="00D67666">
        <w:rPr>
          <w:rFonts w:ascii="Verdana" w:hAnsi="Verdana"/>
          <w:color w:val="000000"/>
          <w:sz w:val="16"/>
          <w:szCs w:val="16"/>
          <w:lang w:val="es-AR" w:eastAsia="es-AR"/>
        </w:rPr>
        <w:t>…”</w:t>
      </w:r>
    </w:p>
    <w:p w:rsidR="00E7707F" w:rsidRDefault="00E7707F" w:rsidP="001C434B">
      <w:pPr>
        <w:spacing w:before="80"/>
        <w:ind w:left="105" w:right="105"/>
        <w:jc w:val="both"/>
        <w:rPr>
          <w:rFonts w:ascii="Verdana" w:hAnsi="Verdana"/>
          <w:bCs/>
          <w:color w:val="000000"/>
          <w:sz w:val="16"/>
          <w:szCs w:val="16"/>
          <w:lang w:val="es-AR" w:eastAsia="es-AR"/>
        </w:rPr>
      </w:pPr>
    </w:p>
    <w:p w:rsidR="00484FDA" w:rsidRPr="00484FDA" w:rsidRDefault="00E7707F" w:rsidP="001C434B">
      <w:pPr>
        <w:spacing w:before="80"/>
        <w:ind w:left="105" w:right="105"/>
        <w:jc w:val="both"/>
        <w:rPr>
          <w:rFonts w:ascii="Verdana" w:hAnsi="Verdana"/>
          <w:color w:val="000000"/>
          <w:sz w:val="16"/>
          <w:szCs w:val="16"/>
          <w:lang w:val="es-AR" w:eastAsia="es-AR"/>
        </w:rPr>
      </w:pPr>
      <w:r>
        <w:rPr>
          <w:rFonts w:ascii="Verdana" w:hAnsi="Verdana"/>
          <w:bCs/>
          <w:color w:val="000000"/>
          <w:sz w:val="16"/>
          <w:szCs w:val="16"/>
          <w:lang w:val="es-AR" w:eastAsia="es-AR"/>
        </w:rPr>
        <w:t xml:space="preserve"> </w:t>
      </w:r>
      <w:r w:rsidRPr="00E7707F">
        <w:rPr>
          <w:rFonts w:ascii="Verdana" w:hAnsi="Verdana"/>
          <w:b/>
          <w:bCs/>
          <w:color w:val="000000"/>
          <w:sz w:val="16"/>
          <w:szCs w:val="16"/>
          <w:lang w:val="es-AR" w:eastAsia="es-AR"/>
        </w:rPr>
        <w:t>(*</w:t>
      </w:r>
      <w:proofErr w:type="gramStart"/>
      <w:r w:rsidRPr="00E7707F">
        <w:rPr>
          <w:rFonts w:ascii="Verdana" w:hAnsi="Verdana"/>
          <w:b/>
          <w:bCs/>
          <w:color w:val="000000"/>
          <w:sz w:val="16"/>
          <w:szCs w:val="16"/>
          <w:lang w:val="es-AR" w:eastAsia="es-AR"/>
        </w:rPr>
        <w:t>*)</w:t>
      </w:r>
      <w:r w:rsidR="0042541C">
        <w:rPr>
          <w:rFonts w:ascii="Verdana" w:hAnsi="Verdana"/>
          <w:bCs/>
          <w:color w:val="000000"/>
          <w:sz w:val="16"/>
          <w:szCs w:val="16"/>
          <w:lang w:val="es-AR" w:eastAsia="es-AR"/>
        </w:rPr>
        <w:t>“</w:t>
      </w:r>
      <w:proofErr w:type="gramEnd"/>
      <w:r w:rsidR="00484FDA" w:rsidRPr="00484FDA">
        <w:rPr>
          <w:rFonts w:ascii="Verdana" w:hAnsi="Verdana"/>
          <w:b/>
          <w:bCs/>
          <w:color w:val="000000"/>
          <w:sz w:val="16"/>
          <w:szCs w:val="16"/>
          <w:lang w:val="es-AR" w:eastAsia="es-AR"/>
        </w:rPr>
        <w:t>Art. 35 -</w:t>
      </w:r>
      <w:r w:rsidR="00484FDA" w:rsidRPr="00484FDA">
        <w:rPr>
          <w:rFonts w:ascii="Verdana" w:hAnsi="Verdana"/>
          <w:color w:val="000000"/>
          <w:sz w:val="16"/>
          <w:szCs w:val="16"/>
          <w:lang w:val="es-AR" w:eastAsia="es-AR"/>
        </w:rPr>
        <w:t> A los efectos de la aplicación de lo dispuesto por el artículo 204 del Código Fiscal (t.o. 2015), las bonificaciones por buen cumplimiento del impuesto sobre los ingresos brutos se calcularán sobre el total del impuesto anual 201</w:t>
      </w:r>
      <w:r w:rsidR="00BE6765">
        <w:rPr>
          <w:rFonts w:ascii="Verdana" w:hAnsi="Verdana"/>
          <w:color w:val="000000"/>
          <w:sz w:val="16"/>
          <w:szCs w:val="16"/>
          <w:lang w:val="es-AR" w:eastAsia="es-AR"/>
        </w:rPr>
        <w:t>9</w:t>
      </w:r>
      <w:r w:rsidR="00484FDA" w:rsidRPr="00484FDA">
        <w:rPr>
          <w:rFonts w:ascii="Verdana" w:hAnsi="Verdana"/>
          <w:color w:val="000000"/>
          <w:sz w:val="16"/>
          <w:szCs w:val="16"/>
          <w:lang w:val="es-AR" w:eastAsia="es-AR"/>
        </w:rPr>
        <w:t>, empleando la siguiente escala:</w:t>
      </w:r>
    </w:p>
    <w:p w:rsidR="00484FDA" w:rsidRPr="00484FDA" w:rsidRDefault="00484FDA" w:rsidP="00484FDA">
      <w:pPr>
        <w:spacing w:before="105" w:after="105"/>
        <w:ind w:left="105" w:right="105"/>
        <w:rPr>
          <w:color w:val="000000"/>
          <w:lang w:val="es-AR" w:eastAsia="es-AR"/>
        </w:rPr>
      </w:pPr>
      <w:r w:rsidRPr="00484FDA">
        <w:rPr>
          <w:color w:val="000000"/>
          <w:lang w:val="es-AR" w:eastAsia="es-AR"/>
        </w:rPr>
        <w:t> </w:t>
      </w:r>
    </w:p>
    <w:tbl>
      <w:tblPr>
        <w:tblW w:w="0" w:type="auto"/>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9765"/>
        <w:gridCol w:w="728"/>
      </w:tblGrid>
      <w:tr w:rsidR="00484FDA" w:rsidRPr="00484FDA" w:rsidTr="001C434B">
        <w:trPr>
          <w:trHeight w:val="673"/>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B56EC" w:rsidRDefault="00484FDA" w:rsidP="000B56EC">
            <w:pPr>
              <w:numPr>
                <w:ilvl w:val="0"/>
                <w:numId w:val="2"/>
              </w:numPr>
              <w:ind w:right="105"/>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Para los contribuyentes que registren ingresados en término la totalidad de los anticipos devengados</w:t>
            </w:r>
          </w:p>
          <w:p w:rsidR="00484FDA" w:rsidRPr="00484FDA" w:rsidRDefault="00484FDA" w:rsidP="000B56EC">
            <w:pPr>
              <w:ind w:left="720" w:right="105"/>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 xml:space="preserve">durante los ejercicios fiscales </w:t>
            </w:r>
            <w:proofErr w:type="gramStart"/>
            <w:r w:rsidRPr="00484FDA">
              <w:rPr>
                <w:rFonts w:ascii="Verdana" w:hAnsi="Verdana" w:cs="Calibri"/>
                <w:color w:val="000000"/>
                <w:sz w:val="15"/>
                <w:szCs w:val="15"/>
                <w:lang w:val="es-AR" w:eastAsia="es-AR"/>
              </w:rPr>
              <w:t xml:space="preserve">2017 </w:t>
            </w:r>
            <w:r w:rsidR="00BE6765">
              <w:rPr>
                <w:rFonts w:ascii="Verdana" w:hAnsi="Verdana" w:cs="Calibri"/>
                <w:color w:val="000000"/>
                <w:sz w:val="15"/>
                <w:szCs w:val="15"/>
                <w:lang w:val="es-AR" w:eastAsia="es-AR"/>
              </w:rPr>
              <w:t>,</w:t>
            </w:r>
            <w:proofErr w:type="gramEnd"/>
            <w:r w:rsidRPr="00484FDA">
              <w:rPr>
                <w:rFonts w:ascii="Verdana" w:hAnsi="Verdana" w:cs="Calibri"/>
                <w:color w:val="000000"/>
                <w:sz w:val="15"/>
                <w:szCs w:val="15"/>
                <w:lang w:val="es-AR" w:eastAsia="es-AR"/>
              </w:rPr>
              <w:t xml:space="preserve"> 2018</w:t>
            </w:r>
            <w:r w:rsidR="00BE6765">
              <w:rPr>
                <w:rFonts w:ascii="Verdana" w:hAnsi="Verdana" w:cs="Calibri"/>
                <w:color w:val="000000"/>
                <w:sz w:val="15"/>
                <w:szCs w:val="15"/>
                <w:lang w:val="es-AR" w:eastAsia="es-AR"/>
              </w:rPr>
              <w:t xml:space="preserve"> y 2019, </w:t>
            </w:r>
            <w:r w:rsidRPr="00484FDA">
              <w:rPr>
                <w:rFonts w:ascii="Verdana" w:hAnsi="Verdana" w:cs="Calibri"/>
                <w:color w:val="000000"/>
                <w:sz w:val="15"/>
                <w:szCs w:val="15"/>
                <w:lang w:val="es-AR" w:eastAsia="es-AR"/>
              </w:rPr>
              <w:t xml:space="preserve"> </w:t>
            </w:r>
            <w:r w:rsidR="000B56EC">
              <w:rPr>
                <w:rFonts w:ascii="Verdana" w:hAnsi="Verdana" w:cs="Calibri"/>
                <w:color w:val="000000"/>
                <w:sz w:val="15"/>
                <w:szCs w:val="15"/>
                <w:lang w:val="es-AR" w:eastAsia="es-AR"/>
              </w:rPr>
              <w:t>……………………………</w:t>
            </w:r>
            <w:r w:rsidR="001C434B">
              <w:rPr>
                <w:rFonts w:ascii="Verdana" w:hAnsi="Verdana" w:cs="Calibri"/>
                <w:color w:val="000000"/>
                <w:sz w:val="15"/>
                <w:szCs w:val="15"/>
                <w:lang w:val="es-AR" w:eastAsia="es-AR"/>
              </w:rPr>
              <w:t>……………………………………………………………………………</w:t>
            </w:r>
            <w:r w:rsidR="000B56EC">
              <w:rPr>
                <w:rFonts w:ascii="Verdana" w:hAnsi="Verdana" w:cs="Calibri"/>
                <w:color w:val="000000"/>
                <w:sz w:val="15"/>
                <w:szCs w:val="15"/>
                <w:lang w:val="es-AR" w:eastAsia="es-AR"/>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484FDA" w:rsidRPr="00484FDA" w:rsidRDefault="00484FDA" w:rsidP="00484FDA">
            <w:pPr>
              <w:ind w:left="105" w:right="105"/>
              <w:jc w:val="center"/>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5,00%</w:t>
            </w:r>
          </w:p>
        </w:tc>
      </w:tr>
      <w:tr w:rsidR="00484FDA" w:rsidRPr="00484FDA" w:rsidTr="001C434B">
        <w:trPr>
          <w:trHeight w:val="682"/>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0B56EC" w:rsidRDefault="00484FDA" w:rsidP="000B56EC">
            <w:pPr>
              <w:numPr>
                <w:ilvl w:val="0"/>
                <w:numId w:val="2"/>
              </w:numPr>
              <w:ind w:right="105"/>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 xml:space="preserve">Para los contribuyentes que, registrando abonados la totalidad de los anticipos devengados durante los ejercicios </w:t>
            </w:r>
          </w:p>
          <w:p w:rsidR="000B56EC" w:rsidRDefault="00484FDA" w:rsidP="000B56EC">
            <w:pPr>
              <w:ind w:left="720" w:right="105"/>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fiscales 2017</w:t>
            </w:r>
            <w:r w:rsidR="00BE6765">
              <w:rPr>
                <w:rFonts w:ascii="Verdana" w:hAnsi="Verdana" w:cs="Calibri"/>
                <w:color w:val="000000"/>
                <w:sz w:val="15"/>
                <w:szCs w:val="15"/>
                <w:lang w:val="es-AR" w:eastAsia="es-AR"/>
              </w:rPr>
              <w:t xml:space="preserve">, </w:t>
            </w:r>
            <w:r w:rsidRPr="00484FDA">
              <w:rPr>
                <w:rFonts w:ascii="Verdana" w:hAnsi="Verdana" w:cs="Calibri"/>
                <w:color w:val="000000"/>
                <w:sz w:val="15"/>
                <w:szCs w:val="15"/>
                <w:lang w:val="es-AR" w:eastAsia="es-AR"/>
              </w:rPr>
              <w:t>2018</w:t>
            </w:r>
            <w:r w:rsidR="00BE6765">
              <w:rPr>
                <w:rFonts w:ascii="Verdana" w:hAnsi="Verdana" w:cs="Calibri"/>
                <w:color w:val="000000"/>
                <w:sz w:val="15"/>
                <w:szCs w:val="15"/>
                <w:lang w:val="es-AR" w:eastAsia="es-AR"/>
              </w:rPr>
              <w:t xml:space="preserve"> y 2019</w:t>
            </w:r>
            <w:r w:rsidRPr="00484FDA">
              <w:rPr>
                <w:rFonts w:ascii="Verdana" w:hAnsi="Verdana" w:cs="Calibri"/>
                <w:color w:val="000000"/>
                <w:sz w:val="15"/>
                <w:szCs w:val="15"/>
                <w:lang w:val="es-AR" w:eastAsia="es-AR"/>
              </w:rPr>
              <w:t xml:space="preserve"> al menos uno esté ingresado fuera de término, en cuyo caso el pago deberá haberse</w:t>
            </w:r>
          </w:p>
          <w:p w:rsidR="00484FDA" w:rsidRPr="00484FDA" w:rsidRDefault="00484FDA" w:rsidP="000B56EC">
            <w:pPr>
              <w:ind w:left="720" w:right="105"/>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 xml:space="preserve"> efectuado dentro del mes calendario inmediato siguiente al del respectivo vencimiento general</w:t>
            </w:r>
            <w:r w:rsidR="000B56EC">
              <w:rPr>
                <w:rFonts w:ascii="Verdana" w:hAnsi="Verdana" w:cs="Calibri"/>
                <w:color w:val="000000"/>
                <w:sz w:val="15"/>
                <w:szCs w:val="15"/>
                <w:lang w:val="es-AR" w:eastAsia="es-AR"/>
              </w:rPr>
              <w:t>……………………………………</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484FDA" w:rsidRPr="00484FDA" w:rsidRDefault="00484FDA" w:rsidP="00484FDA">
            <w:pPr>
              <w:ind w:left="105" w:right="105"/>
              <w:jc w:val="center"/>
              <w:rPr>
                <w:rFonts w:ascii="Verdana" w:hAnsi="Verdana" w:cs="Calibri"/>
                <w:color w:val="000000"/>
                <w:sz w:val="15"/>
                <w:szCs w:val="15"/>
                <w:lang w:val="es-AR" w:eastAsia="es-AR"/>
              </w:rPr>
            </w:pPr>
            <w:r w:rsidRPr="00484FDA">
              <w:rPr>
                <w:rFonts w:ascii="Verdana" w:hAnsi="Verdana" w:cs="Calibri"/>
                <w:color w:val="000000"/>
                <w:sz w:val="15"/>
                <w:szCs w:val="15"/>
                <w:lang w:val="es-AR" w:eastAsia="es-AR"/>
              </w:rPr>
              <w:t>3,50%</w:t>
            </w:r>
          </w:p>
        </w:tc>
      </w:tr>
    </w:tbl>
    <w:p w:rsidR="00484FDA" w:rsidRPr="00484FDA" w:rsidRDefault="00484FDA" w:rsidP="00484FDA">
      <w:pPr>
        <w:spacing w:before="105" w:after="105"/>
        <w:ind w:left="105" w:right="105"/>
        <w:rPr>
          <w:color w:val="000000"/>
          <w:lang w:val="es-AR" w:eastAsia="es-AR"/>
        </w:rPr>
      </w:pPr>
      <w:r w:rsidRPr="00484FDA">
        <w:rPr>
          <w:color w:val="000000"/>
          <w:lang w:val="es-AR" w:eastAsia="es-AR"/>
        </w:rPr>
        <w:t> </w:t>
      </w:r>
    </w:p>
    <w:p w:rsidR="00484FDA" w:rsidRPr="00484FDA" w:rsidRDefault="00484FDA" w:rsidP="001C434B">
      <w:pPr>
        <w:spacing w:before="80"/>
        <w:ind w:left="105" w:right="105"/>
        <w:jc w:val="both"/>
        <w:rPr>
          <w:rFonts w:ascii="Verdana" w:hAnsi="Verdana"/>
          <w:color w:val="000000"/>
          <w:sz w:val="16"/>
          <w:szCs w:val="16"/>
          <w:lang w:val="es-AR" w:eastAsia="es-AR"/>
        </w:rPr>
      </w:pPr>
      <w:r w:rsidRPr="00484FDA">
        <w:rPr>
          <w:rFonts w:ascii="Verdana" w:hAnsi="Verdana"/>
          <w:color w:val="000000"/>
          <w:sz w:val="16"/>
          <w:szCs w:val="16"/>
          <w:lang w:val="es-AR" w:eastAsia="es-AR"/>
        </w:rPr>
        <w:t>Podrán acceder a este beneficio los contribuyentes con sede en esta jurisdicción provincial que tributen bajo las normas del Convenio Multilateral cuya sumatoria de ingresos, declarados o determinados por la Dirección General de Rentas, para el ejercicio fiscal 201</w:t>
      </w:r>
      <w:r w:rsidR="00BE6765">
        <w:rPr>
          <w:rFonts w:ascii="Verdana" w:hAnsi="Verdana"/>
          <w:color w:val="000000"/>
          <w:sz w:val="16"/>
          <w:szCs w:val="16"/>
          <w:lang w:val="es-AR" w:eastAsia="es-AR"/>
        </w:rPr>
        <w:t>9</w:t>
      </w:r>
      <w:r w:rsidRPr="00484FDA">
        <w:rPr>
          <w:rFonts w:ascii="Verdana" w:hAnsi="Verdana"/>
          <w:color w:val="000000"/>
          <w:sz w:val="16"/>
          <w:szCs w:val="16"/>
          <w:lang w:val="es-AR" w:eastAsia="es-AR"/>
        </w:rPr>
        <w:t>, atribuibles a la totalidad de las actividades desarrolladas -incluidas las que corresponderían a las exentas y/o no gravadas-, cualquiera sea la jurisdicción en que se lleven a cabo las mismas, no supere la suma de pesos quinientos millones ($ 500.000.000), y aquellos que desarrollen sus actividades exclusivamente en La Pampa -obligados directos-.</w:t>
      </w:r>
    </w:p>
    <w:p w:rsidR="00484FDA" w:rsidRPr="00484FDA" w:rsidRDefault="00484FDA" w:rsidP="00484FDA">
      <w:pPr>
        <w:spacing w:before="80"/>
        <w:ind w:left="105" w:right="105" w:firstLine="105"/>
        <w:jc w:val="both"/>
        <w:rPr>
          <w:rFonts w:ascii="Verdana" w:hAnsi="Verdana"/>
          <w:color w:val="000000"/>
          <w:sz w:val="16"/>
          <w:szCs w:val="16"/>
          <w:lang w:val="es-AR" w:eastAsia="es-AR"/>
        </w:rPr>
      </w:pPr>
      <w:r w:rsidRPr="00484FDA">
        <w:rPr>
          <w:rFonts w:ascii="Verdana" w:hAnsi="Verdana"/>
          <w:color w:val="000000"/>
          <w:sz w:val="16"/>
          <w:szCs w:val="16"/>
          <w:lang w:val="es-AR" w:eastAsia="es-AR"/>
        </w:rPr>
        <w:t>En todos los casos deberán verificarse concurrentemente los siguientes requisitos:</w:t>
      </w:r>
    </w:p>
    <w:p w:rsidR="00484FDA" w:rsidRPr="00484FDA" w:rsidRDefault="00484FDA" w:rsidP="00484FDA">
      <w:pPr>
        <w:spacing w:before="80"/>
        <w:ind w:left="270" w:right="105"/>
        <w:jc w:val="both"/>
        <w:rPr>
          <w:rFonts w:ascii="Verdana" w:hAnsi="Verdana"/>
          <w:color w:val="000000"/>
          <w:sz w:val="16"/>
          <w:szCs w:val="16"/>
          <w:lang w:val="es-AR" w:eastAsia="es-AR"/>
        </w:rPr>
      </w:pPr>
      <w:r w:rsidRPr="00484FDA">
        <w:rPr>
          <w:rFonts w:ascii="Verdana" w:hAnsi="Verdana"/>
          <w:color w:val="000000"/>
          <w:sz w:val="16"/>
          <w:szCs w:val="16"/>
          <w:lang w:val="es-AR" w:eastAsia="es-AR"/>
        </w:rPr>
        <w:t>a) Haber presentado las declaraciones juradas anuales desde el inicio de sus actividades.</w:t>
      </w:r>
    </w:p>
    <w:p w:rsidR="00484FDA" w:rsidRPr="00484FDA" w:rsidRDefault="00484FDA" w:rsidP="00484FDA">
      <w:pPr>
        <w:spacing w:before="80"/>
        <w:ind w:left="270" w:right="105"/>
        <w:jc w:val="both"/>
        <w:rPr>
          <w:rFonts w:ascii="Verdana" w:hAnsi="Verdana"/>
          <w:color w:val="000000"/>
          <w:sz w:val="16"/>
          <w:szCs w:val="16"/>
          <w:lang w:val="es-AR" w:eastAsia="es-AR"/>
        </w:rPr>
      </w:pPr>
      <w:r w:rsidRPr="00484FDA">
        <w:rPr>
          <w:rFonts w:ascii="Verdana" w:hAnsi="Verdana"/>
          <w:color w:val="000000"/>
          <w:sz w:val="16"/>
          <w:szCs w:val="16"/>
          <w:lang w:val="es-AR" w:eastAsia="es-AR"/>
        </w:rPr>
        <w:t>b) No poseer deuda exigible por los ejercicios fiscales 201</w:t>
      </w:r>
      <w:r w:rsidR="00BE6765">
        <w:rPr>
          <w:rFonts w:ascii="Verdana" w:hAnsi="Verdana"/>
          <w:color w:val="000000"/>
          <w:sz w:val="16"/>
          <w:szCs w:val="16"/>
          <w:lang w:val="es-AR" w:eastAsia="es-AR"/>
        </w:rPr>
        <w:t>6</w:t>
      </w:r>
      <w:r w:rsidRPr="00484FDA">
        <w:rPr>
          <w:rFonts w:ascii="Verdana" w:hAnsi="Verdana"/>
          <w:color w:val="000000"/>
          <w:sz w:val="16"/>
          <w:szCs w:val="16"/>
          <w:lang w:val="es-AR" w:eastAsia="es-AR"/>
        </w:rPr>
        <w:t xml:space="preserve"> y anteriores.</w:t>
      </w:r>
    </w:p>
    <w:p w:rsidR="00484FDA" w:rsidRPr="00484FDA" w:rsidRDefault="00484FDA" w:rsidP="00484FDA">
      <w:pPr>
        <w:spacing w:before="80"/>
        <w:ind w:left="270" w:right="105"/>
        <w:jc w:val="both"/>
        <w:rPr>
          <w:rFonts w:ascii="Verdana" w:hAnsi="Verdana"/>
          <w:color w:val="000000"/>
          <w:sz w:val="16"/>
          <w:szCs w:val="16"/>
          <w:lang w:val="es-AR" w:eastAsia="es-AR"/>
        </w:rPr>
      </w:pPr>
      <w:r w:rsidRPr="00484FDA">
        <w:rPr>
          <w:rFonts w:ascii="Verdana" w:hAnsi="Verdana"/>
          <w:color w:val="000000"/>
          <w:sz w:val="16"/>
          <w:szCs w:val="16"/>
          <w:lang w:val="es-AR" w:eastAsia="es-AR"/>
        </w:rPr>
        <w:t>c) Si ha sido designado agente de recaudación debe registrar cumplidas en tiempo y forma sus obligaciones como tal.</w:t>
      </w:r>
    </w:p>
    <w:p w:rsidR="00484FDA" w:rsidRPr="00484FDA" w:rsidRDefault="00484FDA" w:rsidP="00484FDA">
      <w:pPr>
        <w:spacing w:before="80"/>
        <w:ind w:left="105" w:right="105" w:firstLine="105"/>
        <w:jc w:val="both"/>
        <w:rPr>
          <w:rFonts w:ascii="Verdana" w:hAnsi="Verdana"/>
          <w:color w:val="000000"/>
          <w:sz w:val="16"/>
          <w:szCs w:val="16"/>
          <w:lang w:val="es-AR" w:eastAsia="es-AR"/>
        </w:rPr>
      </w:pPr>
      <w:r w:rsidRPr="00484FDA">
        <w:rPr>
          <w:rFonts w:ascii="Verdana" w:hAnsi="Verdana"/>
          <w:color w:val="000000"/>
          <w:sz w:val="16"/>
          <w:szCs w:val="16"/>
          <w:lang w:val="es-AR" w:eastAsia="es-AR"/>
        </w:rPr>
        <w:t>En el caso en que se detectare que el contribuyente y/o responsable hubiere omitido o falseado la información respecto de la base imponible y/o del impuesto, el beneficio establecido en el presente artículo caducará en forma inmediata, debiéndose restituir la bonificación, ingresándola con más los intereses y accesorias que correspondieren</w:t>
      </w:r>
      <w:r w:rsidR="0042541C">
        <w:rPr>
          <w:rFonts w:ascii="Verdana" w:hAnsi="Verdana"/>
          <w:color w:val="000000"/>
          <w:sz w:val="16"/>
          <w:szCs w:val="16"/>
          <w:lang w:val="es-AR" w:eastAsia="es-AR"/>
        </w:rPr>
        <w:t>.”</w:t>
      </w: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p w:rsidR="00484FDA" w:rsidRDefault="00484FDA">
      <w:pPr>
        <w:pStyle w:val="Default"/>
        <w:jc w:val="both"/>
        <w:rPr>
          <w:rStyle w:val="negritanovedades"/>
          <w:rFonts w:ascii="Verdana" w:hAnsi="Verdana"/>
          <w:bCs/>
          <w:sz w:val="16"/>
          <w:szCs w:val="16"/>
        </w:rPr>
      </w:pPr>
    </w:p>
    <w:sectPr w:rsidR="00484FDA">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2F3C"/>
    <w:multiLevelType w:val="hybridMultilevel"/>
    <w:tmpl w:val="9214799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76"/>
    <w:rsid w:val="00023A71"/>
    <w:rsid w:val="00057015"/>
    <w:rsid w:val="000A583C"/>
    <w:rsid w:val="000B56EC"/>
    <w:rsid w:val="00104E6F"/>
    <w:rsid w:val="001B1260"/>
    <w:rsid w:val="001B72CD"/>
    <w:rsid w:val="001C434B"/>
    <w:rsid w:val="00247CE8"/>
    <w:rsid w:val="00256787"/>
    <w:rsid w:val="002A36CA"/>
    <w:rsid w:val="0038148E"/>
    <w:rsid w:val="003D041B"/>
    <w:rsid w:val="0042541C"/>
    <w:rsid w:val="00484FDA"/>
    <w:rsid w:val="004A31C7"/>
    <w:rsid w:val="004A4A0F"/>
    <w:rsid w:val="004F5CC6"/>
    <w:rsid w:val="004F6BD0"/>
    <w:rsid w:val="00535B9C"/>
    <w:rsid w:val="005B7A91"/>
    <w:rsid w:val="006003E6"/>
    <w:rsid w:val="00737293"/>
    <w:rsid w:val="0074742C"/>
    <w:rsid w:val="00770876"/>
    <w:rsid w:val="008813F7"/>
    <w:rsid w:val="008A3669"/>
    <w:rsid w:val="008B6E81"/>
    <w:rsid w:val="00956177"/>
    <w:rsid w:val="009F7E73"/>
    <w:rsid w:val="00B53216"/>
    <w:rsid w:val="00BA52BC"/>
    <w:rsid w:val="00BA7D73"/>
    <w:rsid w:val="00BE6765"/>
    <w:rsid w:val="00C55D8A"/>
    <w:rsid w:val="00C60C1F"/>
    <w:rsid w:val="00CD1C58"/>
    <w:rsid w:val="00D24480"/>
    <w:rsid w:val="00D67666"/>
    <w:rsid w:val="00E7707F"/>
    <w:rsid w:val="00FD19AC"/>
    <w:rsid w:val="00FF5A8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649712-F184-4580-B0E1-30430B5A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lang w:val="es-ES" w:eastAsia="es-ES"/>
    </w:rPr>
  </w:style>
  <w:style w:type="character" w:default="1" w:styleId="Fuentedeprrafopredeter">
    <w:name w:val="Default Paragraph Font"/>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olor w:val="000000"/>
      <w:sz w:val="24"/>
      <w:szCs w:val="24"/>
      <w:lang w:val="es-ES" w:eastAsia="es-ES"/>
    </w:rPr>
  </w:style>
  <w:style w:type="paragraph" w:styleId="Textoindependiente">
    <w:name w:val="Body Text"/>
    <w:basedOn w:val="Normal"/>
    <w:semiHidden/>
    <w:pPr>
      <w:autoSpaceDE w:val="0"/>
      <w:autoSpaceDN w:val="0"/>
      <w:adjustRightInd w:val="0"/>
      <w:jc w:val="both"/>
    </w:pPr>
  </w:style>
  <w:style w:type="paragraph" w:styleId="Textodeglobo">
    <w:name w:val="Balloon Text"/>
    <w:basedOn w:val="Normal"/>
    <w:link w:val="TextodegloboCar"/>
    <w:uiPriority w:val="99"/>
    <w:semiHidden/>
    <w:unhideWhenUsed/>
    <w:rsid w:val="008B6E81"/>
    <w:rPr>
      <w:rFonts w:ascii="Tahoma" w:hAnsi="Tahoma"/>
      <w:sz w:val="16"/>
      <w:szCs w:val="16"/>
    </w:rPr>
  </w:style>
  <w:style w:type="character" w:customStyle="1" w:styleId="TextodegloboCar">
    <w:name w:val="Texto de globo Car"/>
    <w:link w:val="Textodeglobo"/>
    <w:uiPriority w:val="99"/>
    <w:semiHidden/>
    <w:rsid w:val="008B6E81"/>
    <w:rPr>
      <w:rFonts w:ascii="Tahoma" w:eastAsia="Times New Roman" w:hAnsi="Tahoma" w:cs="Tahoma"/>
      <w:sz w:val="16"/>
      <w:szCs w:val="16"/>
      <w:lang w:val="es-ES" w:eastAsia="es-ES"/>
    </w:rPr>
  </w:style>
  <w:style w:type="character" w:customStyle="1" w:styleId="negritanovedades">
    <w:name w:val="negritanovedades"/>
    <w:rsid w:val="00057015"/>
  </w:style>
  <w:style w:type="character" w:customStyle="1" w:styleId="apple-converted-space">
    <w:name w:val="apple-converted-space"/>
    <w:rsid w:val="00057015"/>
  </w:style>
  <w:style w:type="paragraph" w:customStyle="1" w:styleId="sangrianovedades">
    <w:name w:val="sangrianovedades"/>
    <w:basedOn w:val="Normal"/>
    <w:rsid w:val="00484FDA"/>
    <w:pPr>
      <w:spacing w:before="100" w:beforeAutospacing="1" w:after="100" w:afterAutospacing="1"/>
    </w:pPr>
    <w:rPr>
      <w:lang w:val="es-AR" w:eastAsia="es-AR"/>
    </w:rPr>
  </w:style>
  <w:style w:type="character" w:customStyle="1" w:styleId="hipervnculo">
    <w:name w:val="hipervnculo"/>
    <w:rsid w:val="00484FDA"/>
  </w:style>
  <w:style w:type="paragraph" w:styleId="NormalWeb">
    <w:name w:val="Normal (Web)"/>
    <w:basedOn w:val="Normal"/>
    <w:uiPriority w:val="99"/>
    <w:semiHidden/>
    <w:unhideWhenUsed/>
    <w:rsid w:val="00484FDA"/>
    <w:pPr>
      <w:spacing w:before="100" w:beforeAutospacing="1" w:after="100" w:afterAutospacing="1"/>
    </w:pPr>
    <w:rPr>
      <w:lang w:val="es-AR" w:eastAsia="es-AR"/>
    </w:rPr>
  </w:style>
  <w:style w:type="paragraph" w:customStyle="1" w:styleId="tablaizquierda8">
    <w:name w:val="tablaizquierda8"/>
    <w:basedOn w:val="Normal"/>
    <w:rsid w:val="00484FDA"/>
    <w:pPr>
      <w:spacing w:before="100" w:beforeAutospacing="1" w:after="100" w:afterAutospacing="1"/>
    </w:pPr>
    <w:rPr>
      <w:lang w:val="es-AR" w:eastAsia="es-AR"/>
    </w:rPr>
  </w:style>
  <w:style w:type="paragraph" w:customStyle="1" w:styleId="tablacentrado8">
    <w:name w:val="tablacentrado8"/>
    <w:basedOn w:val="Normal"/>
    <w:rsid w:val="00484FDA"/>
    <w:pPr>
      <w:spacing w:before="100" w:beforeAutospacing="1" w:after="100" w:afterAutospacing="1"/>
    </w:pPr>
    <w:rPr>
      <w:lang w:val="es-AR" w:eastAsia="es-AR"/>
    </w:rPr>
  </w:style>
  <w:style w:type="paragraph" w:customStyle="1" w:styleId="errepar1erfrancesnovedades">
    <w:name w:val="errepar_1erfrancesnovedades"/>
    <w:basedOn w:val="Normal"/>
    <w:rsid w:val="00484FDA"/>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l.errepar.com/sitios/ver/html/20180109094723186.html?k=novedades%204/1/2018" TargetMode="External"/><Relationship Id="rId5" Type="http://schemas.openxmlformats.org/officeDocument/2006/relationships/hyperlink" Target="http://eol.errepar.com/sitios/ver/html/20180109094723186.html?k=novedades%204/1/201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4211</Characters>
  <Application>Microsoft Office Word</Application>
  <DocSecurity>4</DocSecurity>
  <Lines>35</Lines>
  <Paragraphs>9</Paragraphs>
  <ScaleCrop>false</ScaleCrop>
  <HeadingPairs>
    <vt:vector size="2" baseType="variant">
      <vt:variant>
        <vt:lpstr>Título</vt:lpstr>
      </vt:variant>
      <vt:variant>
        <vt:i4>1</vt:i4>
      </vt:variant>
    </vt:vector>
  </HeadingPairs>
  <TitlesOfParts>
    <vt:vector size="1" baseType="lpstr">
      <vt:lpstr>PROVINCIA DE LA PAMPA</vt:lpstr>
    </vt:vector>
  </TitlesOfParts>
  <Company>Sajo Computacion</Company>
  <LinksUpToDate>false</LinksUpToDate>
  <CharactersWithSpaces>4967</CharactersWithSpaces>
  <SharedDoc>false</SharedDoc>
  <HLinks>
    <vt:vector size="12" baseType="variant">
      <vt:variant>
        <vt:i4>7667809</vt:i4>
      </vt:variant>
      <vt:variant>
        <vt:i4>3</vt:i4>
      </vt:variant>
      <vt:variant>
        <vt:i4>0</vt:i4>
      </vt:variant>
      <vt:variant>
        <vt:i4>5</vt:i4>
      </vt:variant>
      <vt:variant>
        <vt:lpwstr>http://eol.errepar.com/sitios/ver/html/20180109094723186.html?k=novedades%204/1/2018</vt:lpwstr>
      </vt:variant>
      <vt:variant>
        <vt:lpwstr>anexoI</vt:lpwstr>
      </vt:variant>
      <vt:variant>
        <vt:i4>7667809</vt:i4>
      </vt:variant>
      <vt:variant>
        <vt:i4>0</vt:i4>
      </vt:variant>
      <vt:variant>
        <vt:i4>0</vt:i4>
      </vt:variant>
      <vt:variant>
        <vt:i4>5</vt:i4>
      </vt:variant>
      <vt:variant>
        <vt:lpwstr>http://eol.errepar.com/sitios/ver/html/20180109094723186.html?k=novedades%204/1/2018</vt:lpwstr>
      </vt:variant>
      <vt:variant>
        <vt:lpwstr>anexoI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LA PAMPA</dc:title>
  <dc:subject/>
  <dc:creator>Fadeeac</dc:creator>
  <cp:keywords/>
  <cp:lastModifiedBy>FADEEAC</cp:lastModifiedBy>
  <cp:revision>2</cp:revision>
  <cp:lastPrinted>2019-01-08T13:05:00Z</cp:lastPrinted>
  <dcterms:created xsi:type="dcterms:W3CDTF">2019-02-04T18:25:00Z</dcterms:created>
  <dcterms:modified xsi:type="dcterms:W3CDTF">2019-02-04T18:25:00Z</dcterms:modified>
</cp:coreProperties>
</file>