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F" w:rsidRPr="002323C3" w:rsidRDefault="00F51E2F" w:rsidP="00F51E2F">
      <w:pPr>
        <w:jc w:val="center"/>
        <w:rPr>
          <w:b/>
          <w:i/>
          <w:sz w:val="40"/>
          <w:szCs w:val="40"/>
          <w:u w:val="single"/>
        </w:rPr>
      </w:pPr>
      <w:bookmarkStart w:id="0" w:name="_GoBack"/>
      <w:bookmarkEnd w:id="0"/>
      <w:proofErr w:type="gramStart"/>
      <w:r w:rsidRPr="002323C3">
        <w:rPr>
          <w:b/>
          <w:i/>
          <w:sz w:val="40"/>
          <w:szCs w:val="40"/>
          <w:u w:val="single"/>
        </w:rPr>
        <w:t>PROVINCIA</w:t>
      </w:r>
      <w:r w:rsidR="004B7847">
        <w:rPr>
          <w:b/>
          <w:i/>
          <w:sz w:val="40"/>
          <w:szCs w:val="40"/>
          <w:u w:val="single"/>
        </w:rPr>
        <w:t xml:space="preserve"> </w:t>
      </w:r>
      <w:r w:rsidRPr="002323C3">
        <w:rPr>
          <w:b/>
          <w:i/>
          <w:sz w:val="40"/>
          <w:szCs w:val="40"/>
          <w:u w:val="single"/>
        </w:rPr>
        <w:t xml:space="preserve"> DE</w:t>
      </w:r>
      <w:proofErr w:type="gramEnd"/>
      <w:r w:rsidR="004B7847">
        <w:rPr>
          <w:b/>
          <w:i/>
          <w:sz w:val="40"/>
          <w:szCs w:val="40"/>
          <w:u w:val="single"/>
        </w:rPr>
        <w:t xml:space="preserve"> </w:t>
      </w:r>
      <w:r w:rsidRPr="002323C3">
        <w:rPr>
          <w:b/>
          <w:i/>
          <w:sz w:val="40"/>
          <w:szCs w:val="40"/>
          <w:u w:val="single"/>
        </w:rPr>
        <w:t xml:space="preserve"> </w:t>
      </w:r>
      <w:r w:rsidR="004B7847">
        <w:rPr>
          <w:b/>
          <w:i/>
          <w:sz w:val="40"/>
          <w:szCs w:val="40"/>
          <w:u w:val="single"/>
        </w:rPr>
        <w:t>MENDOZA</w:t>
      </w:r>
    </w:p>
    <w:p w:rsidR="00F51E2F" w:rsidRDefault="00F51E2F" w:rsidP="00F51E2F"/>
    <w:p w:rsidR="007D2F57" w:rsidRDefault="007D2F57" w:rsidP="00F51E2F">
      <w:pPr>
        <w:rPr>
          <w:i/>
          <w:u w:val="single"/>
        </w:rPr>
      </w:pPr>
    </w:p>
    <w:p w:rsidR="00F51E2F" w:rsidRPr="00474B09" w:rsidRDefault="00F51E2F" w:rsidP="00F51E2F">
      <w:r w:rsidRPr="00700351">
        <w:rPr>
          <w:i/>
          <w:u w:val="single"/>
        </w:rPr>
        <w:t>CODIFICACION – ALICUOTAS</w:t>
      </w:r>
      <w:r w:rsidR="00537D7E">
        <w:rPr>
          <w:i/>
          <w:u w:val="single"/>
        </w:rPr>
        <w:t xml:space="preserve">  </w:t>
      </w:r>
      <w:r w:rsidR="00E50847" w:rsidRPr="00474B09">
        <w:rPr>
          <w:u w:val="single"/>
        </w:rPr>
        <w:t xml:space="preserve"> </w:t>
      </w:r>
      <w:r w:rsidR="00474B09" w:rsidRPr="00474B09">
        <w:rPr>
          <w:u w:val="single"/>
        </w:rPr>
        <w:t xml:space="preserve">LEY IMPOSITIVA </w:t>
      </w:r>
      <w:r w:rsidR="002104B7">
        <w:rPr>
          <w:u w:val="single"/>
        </w:rPr>
        <w:t>201</w:t>
      </w:r>
      <w:r w:rsidR="005A7E37">
        <w:rPr>
          <w:u w:val="single"/>
        </w:rPr>
        <w:t>9</w:t>
      </w:r>
    </w:p>
    <w:p w:rsidR="00F51E2F" w:rsidRDefault="00F51E2F" w:rsidP="00F51E2F"/>
    <w:p w:rsidR="007D2F57" w:rsidRDefault="007D2F57" w:rsidP="00F51E2F"/>
    <w:tbl>
      <w:tblPr>
        <w:tblW w:w="9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951"/>
        <w:gridCol w:w="3664"/>
        <w:gridCol w:w="1356"/>
        <w:gridCol w:w="2714"/>
      </w:tblGrid>
      <w:tr w:rsidR="00A86891" w:rsidTr="007D2F57">
        <w:trPr>
          <w:trHeight w:val="401"/>
        </w:trPr>
        <w:tc>
          <w:tcPr>
            <w:tcW w:w="2036" w:type="dxa"/>
            <w:gridSpan w:val="2"/>
          </w:tcPr>
          <w:p w:rsidR="00A86891" w:rsidRPr="001A5E91" w:rsidRDefault="00A86891" w:rsidP="007F6C8D">
            <w:pPr>
              <w:jc w:val="center"/>
              <w:rPr>
                <w:b/>
                <w:sz w:val="20"/>
                <w:szCs w:val="20"/>
              </w:rPr>
            </w:pPr>
            <w:r w:rsidRPr="001A5E91">
              <w:rPr>
                <w:b/>
                <w:sz w:val="20"/>
                <w:szCs w:val="20"/>
              </w:rPr>
              <w:t>CODIGO</w:t>
            </w:r>
          </w:p>
        </w:tc>
        <w:tc>
          <w:tcPr>
            <w:tcW w:w="3664" w:type="dxa"/>
            <w:vMerge w:val="restart"/>
          </w:tcPr>
          <w:p w:rsidR="00A86891" w:rsidRPr="001A5E91" w:rsidRDefault="00A86891" w:rsidP="007F6C8D">
            <w:pPr>
              <w:jc w:val="center"/>
              <w:rPr>
                <w:b/>
                <w:sz w:val="20"/>
                <w:szCs w:val="20"/>
              </w:rPr>
            </w:pPr>
          </w:p>
          <w:p w:rsidR="00A86891" w:rsidRPr="001A5E91" w:rsidRDefault="00A86891" w:rsidP="007F6C8D">
            <w:pPr>
              <w:jc w:val="center"/>
              <w:rPr>
                <w:b/>
                <w:sz w:val="20"/>
                <w:szCs w:val="20"/>
              </w:rPr>
            </w:pPr>
            <w:r w:rsidRPr="001A5E91">
              <w:rPr>
                <w:b/>
                <w:sz w:val="20"/>
                <w:szCs w:val="20"/>
              </w:rPr>
              <w:t>DESCRIPCION</w:t>
            </w:r>
          </w:p>
        </w:tc>
        <w:tc>
          <w:tcPr>
            <w:tcW w:w="1356" w:type="dxa"/>
            <w:vMerge w:val="restart"/>
          </w:tcPr>
          <w:p w:rsidR="00A86891" w:rsidRPr="001A5E91" w:rsidRDefault="00A86891" w:rsidP="007F6C8D">
            <w:pPr>
              <w:jc w:val="center"/>
              <w:rPr>
                <w:b/>
                <w:sz w:val="20"/>
                <w:szCs w:val="20"/>
              </w:rPr>
            </w:pPr>
          </w:p>
          <w:p w:rsidR="00A86891" w:rsidRPr="001A5E91" w:rsidRDefault="00A86891" w:rsidP="007F6C8D">
            <w:pPr>
              <w:jc w:val="center"/>
              <w:rPr>
                <w:b/>
                <w:sz w:val="20"/>
                <w:szCs w:val="20"/>
              </w:rPr>
            </w:pPr>
            <w:r w:rsidRPr="001A5E91">
              <w:rPr>
                <w:b/>
                <w:sz w:val="20"/>
                <w:szCs w:val="20"/>
              </w:rPr>
              <w:t>ALICUOTA</w:t>
            </w:r>
          </w:p>
          <w:p w:rsidR="00A86891" w:rsidRPr="001A5E91" w:rsidRDefault="00A86891" w:rsidP="007F6C8D">
            <w:pPr>
              <w:jc w:val="center"/>
              <w:rPr>
                <w:b/>
                <w:sz w:val="20"/>
                <w:szCs w:val="20"/>
              </w:rPr>
            </w:pPr>
          </w:p>
        </w:tc>
        <w:tc>
          <w:tcPr>
            <w:tcW w:w="2714" w:type="dxa"/>
            <w:vMerge w:val="restart"/>
          </w:tcPr>
          <w:p w:rsidR="00A86891" w:rsidRPr="001A5E91" w:rsidRDefault="00A86891" w:rsidP="00B35018">
            <w:pPr>
              <w:rPr>
                <w:b/>
                <w:sz w:val="20"/>
                <w:szCs w:val="20"/>
              </w:rPr>
            </w:pPr>
          </w:p>
          <w:p w:rsidR="00A86891" w:rsidRPr="001A5E91" w:rsidRDefault="00A86891" w:rsidP="00B35018">
            <w:pPr>
              <w:rPr>
                <w:b/>
                <w:sz w:val="20"/>
                <w:szCs w:val="20"/>
              </w:rPr>
            </w:pPr>
            <w:r w:rsidRPr="001A5E91">
              <w:rPr>
                <w:b/>
                <w:sz w:val="20"/>
                <w:szCs w:val="20"/>
              </w:rPr>
              <w:t xml:space="preserve">          OBSERVACIONES</w:t>
            </w:r>
          </w:p>
        </w:tc>
      </w:tr>
      <w:tr w:rsidR="00A86891" w:rsidTr="007D2F57">
        <w:trPr>
          <w:trHeight w:val="400"/>
        </w:trPr>
        <w:tc>
          <w:tcPr>
            <w:tcW w:w="1085" w:type="dxa"/>
          </w:tcPr>
          <w:p w:rsidR="00A86891" w:rsidRPr="001A5E91" w:rsidRDefault="00A86891" w:rsidP="00A86891">
            <w:pPr>
              <w:jc w:val="center"/>
              <w:rPr>
                <w:b/>
                <w:sz w:val="20"/>
                <w:szCs w:val="20"/>
              </w:rPr>
            </w:pPr>
            <w:r w:rsidRPr="001A5E91">
              <w:rPr>
                <w:b/>
                <w:sz w:val="20"/>
                <w:szCs w:val="20"/>
              </w:rPr>
              <w:t xml:space="preserve">C.M. </w:t>
            </w:r>
          </w:p>
        </w:tc>
        <w:tc>
          <w:tcPr>
            <w:tcW w:w="950" w:type="dxa"/>
          </w:tcPr>
          <w:p w:rsidR="00A86891" w:rsidRPr="001A5E91" w:rsidRDefault="00A86891" w:rsidP="00A86891">
            <w:pPr>
              <w:jc w:val="center"/>
              <w:rPr>
                <w:b/>
                <w:sz w:val="20"/>
                <w:szCs w:val="20"/>
              </w:rPr>
            </w:pPr>
            <w:r w:rsidRPr="001A5E91">
              <w:rPr>
                <w:b/>
                <w:sz w:val="20"/>
                <w:szCs w:val="20"/>
              </w:rPr>
              <w:t>PCIA.</w:t>
            </w:r>
          </w:p>
        </w:tc>
        <w:tc>
          <w:tcPr>
            <w:tcW w:w="3664" w:type="dxa"/>
            <w:vMerge/>
          </w:tcPr>
          <w:p w:rsidR="00A86891" w:rsidRDefault="00A86891" w:rsidP="00A86891">
            <w:pPr>
              <w:jc w:val="center"/>
              <w:rPr>
                <w:b/>
              </w:rPr>
            </w:pPr>
          </w:p>
        </w:tc>
        <w:tc>
          <w:tcPr>
            <w:tcW w:w="1356" w:type="dxa"/>
            <w:vMerge/>
          </w:tcPr>
          <w:p w:rsidR="00A86891" w:rsidRDefault="00A86891" w:rsidP="00A86891">
            <w:pPr>
              <w:jc w:val="center"/>
              <w:rPr>
                <w:b/>
              </w:rPr>
            </w:pPr>
          </w:p>
        </w:tc>
        <w:tc>
          <w:tcPr>
            <w:tcW w:w="2714" w:type="dxa"/>
            <w:vMerge/>
          </w:tcPr>
          <w:p w:rsidR="00A86891" w:rsidRDefault="00A86891" w:rsidP="00A86891">
            <w:pPr>
              <w:rPr>
                <w:b/>
              </w:rPr>
            </w:pPr>
          </w:p>
        </w:tc>
      </w:tr>
      <w:tr w:rsidR="00D0092F" w:rsidRPr="00B35018" w:rsidTr="007D2F57">
        <w:trPr>
          <w:trHeight w:val="104"/>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492210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492210</w:t>
            </w:r>
          </w:p>
        </w:tc>
        <w:tc>
          <w:tcPr>
            <w:tcW w:w="3664" w:type="dxa"/>
          </w:tcPr>
          <w:p w:rsidR="00D0092F" w:rsidRPr="00D0092F" w:rsidRDefault="00D0092F" w:rsidP="00D0092F">
            <w:pPr>
              <w:rPr>
                <w:rFonts w:ascii="Comic Sans MS" w:hAnsi="Comic Sans MS"/>
                <w:sz w:val="18"/>
                <w:szCs w:val="18"/>
              </w:rPr>
            </w:pPr>
            <w:r w:rsidRPr="00D0092F">
              <w:rPr>
                <w:rFonts w:ascii="Comic Sans MS" w:hAnsi="Comic Sans MS"/>
                <w:color w:val="000000"/>
                <w:sz w:val="18"/>
                <w:szCs w:val="18"/>
                <w:shd w:val="clear" w:color="auto" w:fill="FFFFFF"/>
              </w:rPr>
              <w:t>Servicios de mudanza</w:t>
            </w:r>
          </w:p>
        </w:tc>
        <w:tc>
          <w:tcPr>
            <w:tcW w:w="1356" w:type="dxa"/>
            <w:vMerge w:val="restart"/>
          </w:tcPr>
          <w:p w:rsidR="00D0092F" w:rsidRPr="00B35018" w:rsidRDefault="00D0092F" w:rsidP="00D0092F">
            <w:pPr>
              <w:jc w:val="center"/>
              <w:rPr>
                <w:rFonts w:ascii="Comic Sans MS" w:hAnsi="Comic Sans MS"/>
                <w:sz w:val="20"/>
                <w:szCs w:val="20"/>
              </w:rPr>
            </w:pPr>
          </w:p>
          <w:p w:rsidR="00D0092F" w:rsidRDefault="00D0092F" w:rsidP="00D0092F">
            <w:pPr>
              <w:jc w:val="center"/>
              <w:rPr>
                <w:rFonts w:ascii="Comic Sans MS" w:hAnsi="Comic Sans MS"/>
                <w:b/>
                <w:sz w:val="20"/>
                <w:szCs w:val="20"/>
              </w:rPr>
            </w:pPr>
          </w:p>
          <w:p w:rsidR="00D0092F" w:rsidRDefault="00D0092F" w:rsidP="00D0092F">
            <w:pPr>
              <w:jc w:val="center"/>
              <w:rPr>
                <w:rFonts w:ascii="Comic Sans MS" w:hAnsi="Comic Sans MS"/>
                <w:b/>
                <w:sz w:val="20"/>
                <w:szCs w:val="20"/>
              </w:rPr>
            </w:pPr>
          </w:p>
          <w:p w:rsidR="003F3311" w:rsidRDefault="003F3311" w:rsidP="00D0092F">
            <w:pPr>
              <w:jc w:val="center"/>
              <w:rPr>
                <w:rFonts w:ascii="Comic Sans MS" w:hAnsi="Comic Sans MS"/>
                <w:b/>
                <w:sz w:val="20"/>
                <w:szCs w:val="20"/>
              </w:rPr>
            </w:pPr>
          </w:p>
          <w:p w:rsidR="003F3311" w:rsidRDefault="003F3311" w:rsidP="00D0092F">
            <w:pPr>
              <w:jc w:val="center"/>
              <w:rPr>
                <w:rFonts w:ascii="Comic Sans MS" w:hAnsi="Comic Sans MS"/>
                <w:b/>
                <w:sz w:val="20"/>
                <w:szCs w:val="20"/>
              </w:rPr>
            </w:pPr>
          </w:p>
          <w:p w:rsidR="003F3311" w:rsidRDefault="003F3311" w:rsidP="00D0092F">
            <w:pPr>
              <w:jc w:val="center"/>
              <w:rPr>
                <w:rFonts w:ascii="Comic Sans MS" w:hAnsi="Comic Sans MS"/>
                <w:b/>
                <w:sz w:val="20"/>
                <w:szCs w:val="20"/>
              </w:rPr>
            </w:pPr>
          </w:p>
          <w:p w:rsidR="003F3311" w:rsidRDefault="003F3311" w:rsidP="00D0092F">
            <w:pPr>
              <w:jc w:val="center"/>
              <w:rPr>
                <w:rFonts w:ascii="Comic Sans MS" w:hAnsi="Comic Sans MS"/>
                <w:b/>
                <w:sz w:val="20"/>
                <w:szCs w:val="20"/>
              </w:rPr>
            </w:pPr>
          </w:p>
          <w:p w:rsidR="003F3311" w:rsidRDefault="003F3311" w:rsidP="00D0092F">
            <w:pPr>
              <w:jc w:val="center"/>
              <w:rPr>
                <w:rFonts w:ascii="Comic Sans MS" w:hAnsi="Comic Sans MS"/>
                <w:b/>
                <w:sz w:val="20"/>
                <w:szCs w:val="20"/>
              </w:rPr>
            </w:pPr>
          </w:p>
          <w:p w:rsidR="00D0092F" w:rsidRDefault="00D0092F" w:rsidP="00D0092F">
            <w:pPr>
              <w:jc w:val="center"/>
              <w:rPr>
                <w:rFonts w:ascii="Comic Sans MS" w:hAnsi="Comic Sans MS"/>
                <w:b/>
                <w:sz w:val="20"/>
                <w:szCs w:val="20"/>
              </w:rPr>
            </w:pPr>
          </w:p>
          <w:p w:rsidR="00D0092F" w:rsidRDefault="00D0092F" w:rsidP="00D0092F">
            <w:pPr>
              <w:jc w:val="center"/>
              <w:rPr>
                <w:rFonts w:ascii="Comic Sans MS" w:hAnsi="Comic Sans MS"/>
                <w:b/>
                <w:sz w:val="20"/>
                <w:szCs w:val="20"/>
              </w:rPr>
            </w:pPr>
          </w:p>
          <w:p w:rsidR="00D0092F" w:rsidRDefault="00D0092F" w:rsidP="00D0092F">
            <w:pPr>
              <w:rPr>
                <w:rFonts w:ascii="Comic Sans MS" w:hAnsi="Comic Sans MS"/>
                <w:b/>
                <w:sz w:val="20"/>
                <w:szCs w:val="20"/>
              </w:rPr>
            </w:pPr>
          </w:p>
          <w:p w:rsidR="00D0092F" w:rsidRPr="00B35018" w:rsidRDefault="00D0092F" w:rsidP="00D0092F">
            <w:pPr>
              <w:jc w:val="center"/>
              <w:rPr>
                <w:rFonts w:ascii="Comic Sans MS" w:hAnsi="Comic Sans MS"/>
                <w:b/>
                <w:sz w:val="20"/>
                <w:szCs w:val="20"/>
              </w:rPr>
            </w:pPr>
            <w:r>
              <w:rPr>
                <w:rFonts w:ascii="Comic Sans MS" w:hAnsi="Comic Sans MS"/>
                <w:b/>
                <w:sz w:val="20"/>
                <w:szCs w:val="20"/>
              </w:rPr>
              <w:t>2</w:t>
            </w:r>
            <w:r w:rsidRPr="00B35018">
              <w:rPr>
                <w:rFonts w:ascii="Comic Sans MS" w:hAnsi="Comic Sans MS"/>
                <w:b/>
                <w:sz w:val="20"/>
                <w:szCs w:val="20"/>
              </w:rPr>
              <w:t>%</w:t>
            </w:r>
          </w:p>
          <w:p w:rsidR="00D0092F" w:rsidRPr="00B35018" w:rsidRDefault="00D0092F" w:rsidP="00D0092F">
            <w:pPr>
              <w:jc w:val="center"/>
              <w:rPr>
                <w:rFonts w:ascii="Comic Sans MS" w:hAnsi="Comic Sans MS"/>
                <w:b/>
                <w:sz w:val="20"/>
                <w:szCs w:val="20"/>
              </w:rPr>
            </w:pPr>
          </w:p>
        </w:tc>
        <w:tc>
          <w:tcPr>
            <w:tcW w:w="2714" w:type="dxa"/>
            <w:vMerge w:val="restart"/>
          </w:tcPr>
          <w:p w:rsidR="00D0092F" w:rsidRPr="00B35018"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D0092F" w:rsidRDefault="00D0092F" w:rsidP="00D0092F">
            <w:pPr>
              <w:rPr>
                <w:rFonts w:ascii="Comic Sans MS" w:hAnsi="Comic Sans MS"/>
                <w:sz w:val="20"/>
                <w:szCs w:val="20"/>
              </w:rPr>
            </w:pPr>
          </w:p>
          <w:p w:rsidR="003F3311" w:rsidRDefault="00D0092F" w:rsidP="003F3311">
            <w:pPr>
              <w:jc w:val="center"/>
              <w:rPr>
                <w:rFonts w:ascii="Comic Sans MS" w:hAnsi="Comic Sans MS"/>
                <w:sz w:val="20"/>
                <w:szCs w:val="20"/>
              </w:rPr>
            </w:pPr>
            <w:r w:rsidRPr="00B35018">
              <w:rPr>
                <w:rFonts w:ascii="Comic Sans MS" w:hAnsi="Comic Sans MS"/>
                <w:sz w:val="20"/>
                <w:szCs w:val="20"/>
              </w:rPr>
              <w:t xml:space="preserve">Ley </w:t>
            </w:r>
            <w:r>
              <w:rPr>
                <w:rFonts w:ascii="Comic Sans MS" w:hAnsi="Comic Sans MS"/>
                <w:sz w:val="20"/>
                <w:szCs w:val="20"/>
              </w:rPr>
              <w:t>9</w:t>
            </w:r>
            <w:r w:rsidR="003F3311">
              <w:rPr>
                <w:rFonts w:ascii="Comic Sans MS" w:hAnsi="Comic Sans MS"/>
                <w:sz w:val="20"/>
                <w:szCs w:val="20"/>
              </w:rPr>
              <w:t>188</w:t>
            </w:r>
          </w:p>
          <w:p w:rsidR="00D0092F" w:rsidRPr="00B35018" w:rsidRDefault="00D0092F" w:rsidP="003F3311">
            <w:pPr>
              <w:jc w:val="center"/>
              <w:rPr>
                <w:rFonts w:ascii="Comic Sans MS" w:hAnsi="Comic Sans MS"/>
                <w:sz w:val="20"/>
                <w:szCs w:val="20"/>
              </w:rPr>
            </w:pPr>
            <w:r w:rsidRPr="00B35018">
              <w:rPr>
                <w:rFonts w:ascii="Comic Sans MS" w:hAnsi="Comic Sans MS"/>
                <w:sz w:val="20"/>
                <w:szCs w:val="20"/>
              </w:rPr>
              <w:t>Planilla analítica anexa al artículo 3</w:t>
            </w: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492221</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492221</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 de transporte automotor de cereales</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492229</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492229</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 xml:space="preserve">Servicio de transporte automotor de mercaderías a granel </w:t>
            </w:r>
            <w:proofErr w:type="spellStart"/>
            <w:r w:rsidRPr="003F3311">
              <w:rPr>
                <w:rFonts w:ascii="Comic Sans MS" w:hAnsi="Comic Sans MS"/>
                <w:color w:val="000000"/>
                <w:sz w:val="18"/>
                <w:szCs w:val="18"/>
                <w:shd w:val="clear" w:color="auto" w:fill="FFFFFF"/>
              </w:rPr>
              <w:t>n.c.p</w:t>
            </w:r>
            <w:proofErr w:type="spellEnd"/>
            <w:r w:rsidRPr="003F3311">
              <w:rPr>
                <w:rFonts w:ascii="Comic Sans MS" w:hAnsi="Comic Sans MS"/>
                <w:color w:val="000000"/>
                <w:sz w:val="18"/>
                <w:szCs w:val="18"/>
                <w:shd w:val="clear" w:color="auto" w:fill="FFFFFF"/>
              </w:rPr>
              <w:t>.</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492230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492230</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 de transporte automotor de animales</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492240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492240</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 de transporte por camión cisterna</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492250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492250</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 de transporte automotor de mercaderías y sustancias peligrosas</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492280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492280</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 xml:space="preserve">Servicio de transporte automotor urbano de carga </w:t>
            </w:r>
            <w:proofErr w:type="spellStart"/>
            <w:r w:rsidRPr="003F3311">
              <w:rPr>
                <w:rFonts w:ascii="Comic Sans MS" w:hAnsi="Comic Sans MS"/>
                <w:color w:val="000000"/>
                <w:sz w:val="18"/>
                <w:szCs w:val="18"/>
                <w:shd w:val="clear" w:color="auto" w:fill="FFFFFF"/>
              </w:rPr>
              <w:t>n.c.p</w:t>
            </w:r>
            <w:proofErr w:type="spellEnd"/>
            <w:r w:rsidRPr="003F3311">
              <w:rPr>
                <w:rFonts w:ascii="Comic Sans MS" w:hAnsi="Comic Sans MS"/>
                <w:color w:val="000000"/>
                <w:sz w:val="18"/>
                <w:szCs w:val="18"/>
                <w:shd w:val="clear" w:color="auto" w:fill="FFFFFF"/>
              </w:rPr>
              <w:t>.</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492291</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492291</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 de transporte automotor de petróleo y gas</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521010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521010</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Servicios de manipulación de carga en el ámbito terrestre</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522010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522010</w:t>
            </w:r>
          </w:p>
        </w:tc>
        <w:tc>
          <w:tcPr>
            <w:tcW w:w="3664" w:type="dxa"/>
          </w:tcPr>
          <w:p w:rsidR="00D0092F" w:rsidRPr="003F3311" w:rsidRDefault="00D0092F" w:rsidP="00D0092F">
            <w:pPr>
              <w:rPr>
                <w:rFonts w:ascii="Comic Sans MS" w:hAnsi="Comic Sans MS"/>
                <w:sz w:val="18"/>
                <w:szCs w:val="18"/>
              </w:rPr>
            </w:pPr>
            <w:r w:rsidRPr="003F3311">
              <w:rPr>
                <w:rFonts w:ascii="Comic Sans MS" w:hAnsi="Comic Sans MS"/>
                <w:color w:val="000000"/>
                <w:sz w:val="18"/>
                <w:szCs w:val="18"/>
                <w:shd w:val="clear" w:color="auto" w:fill="FFFFFF"/>
              </w:rPr>
              <w:t>Servicios de almacenamiento y depósito en silos</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522020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522020</w:t>
            </w:r>
          </w:p>
        </w:tc>
        <w:tc>
          <w:tcPr>
            <w:tcW w:w="3664" w:type="dxa"/>
          </w:tcPr>
          <w:p w:rsidR="00D0092F" w:rsidRPr="003F3311" w:rsidRDefault="003F3311" w:rsidP="00D0092F">
            <w:pPr>
              <w:rPr>
                <w:rFonts w:ascii="Comic Sans MS" w:hAnsi="Comic Sans MS"/>
                <w:sz w:val="18"/>
                <w:szCs w:val="18"/>
              </w:rPr>
            </w:pPr>
            <w:r w:rsidRPr="003F3311">
              <w:rPr>
                <w:rFonts w:ascii="Comic Sans MS" w:hAnsi="Comic Sans MS"/>
                <w:color w:val="000000"/>
                <w:sz w:val="18"/>
                <w:szCs w:val="18"/>
                <w:shd w:val="clear" w:color="auto" w:fill="FFFFFF"/>
              </w:rPr>
              <w:t>Servicios de almacenamiento y depósito en cámaras frigoríficas</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0527FC" w:rsidRPr="00B35018" w:rsidTr="007D2F57">
        <w:trPr>
          <w:trHeight w:val="96"/>
        </w:trPr>
        <w:tc>
          <w:tcPr>
            <w:tcW w:w="1085" w:type="dxa"/>
          </w:tcPr>
          <w:p w:rsidR="000527FC" w:rsidRPr="00D0092F" w:rsidRDefault="001A5E91" w:rsidP="008F0E1D">
            <w:pPr>
              <w:jc w:val="center"/>
              <w:rPr>
                <w:rFonts w:ascii="Comic Sans MS" w:hAnsi="Comic Sans MS"/>
                <w:sz w:val="18"/>
                <w:szCs w:val="18"/>
              </w:rPr>
            </w:pPr>
            <w:r>
              <w:rPr>
                <w:rFonts w:ascii="Comic Sans MS" w:hAnsi="Comic Sans MS"/>
                <w:sz w:val="18"/>
                <w:szCs w:val="18"/>
              </w:rPr>
              <w:t>530090</w:t>
            </w:r>
          </w:p>
        </w:tc>
        <w:tc>
          <w:tcPr>
            <w:tcW w:w="950" w:type="dxa"/>
          </w:tcPr>
          <w:p w:rsidR="000527FC" w:rsidRPr="00D0092F" w:rsidRDefault="001A5E91" w:rsidP="008F0E1D">
            <w:pPr>
              <w:jc w:val="center"/>
              <w:rPr>
                <w:rFonts w:ascii="Comic Sans MS" w:hAnsi="Comic Sans MS"/>
                <w:sz w:val="18"/>
                <w:szCs w:val="18"/>
              </w:rPr>
            </w:pPr>
            <w:r>
              <w:rPr>
                <w:rFonts w:ascii="Comic Sans MS" w:hAnsi="Comic Sans MS"/>
                <w:sz w:val="18"/>
                <w:szCs w:val="18"/>
              </w:rPr>
              <w:t>530090</w:t>
            </w:r>
          </w:p>
        </w:tc>
        <w:tc>
          <w:tcPr>
            <w:tcW w:w="3664" w:type="dxa"/>
          </w:tcPr>
          <w:p w:rsidR="000527FC" w:rsidRDefault="001A5E91" w:rsidP="00D0092F">
            <w:pPr>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Servicio de mensajería</w:t>
            </w:r>
          </w:p>
          <w:p w:rsidR="001A5E91" w:rsidRPr="003F3311" w:rsidRDefault="001A5E91" w:rsidP="00D0092F">
            <w:pPr>
              <w:rPr>
                <w:rFonts w:ascii="Comic Sans MS" w:hAnsi="Comic Sans MS"/>
                <w:color w:val="000000"/>
                <w:sz w:val="18"/>
                <w:szCs w:val="18"/>
                <w:shd w:val="clear" w:color="auto" w:fill="FFFFFF"/>
              </w:rPr>
            </w:pPr>
          </w:p>
        </w:tc>
        <w:tc>
          <w:tcPr>
            <w:tcW w:w="1356" w:type="dxa"/>
            <w:vMerge/>
          </w:tcPr>
          <w:p w:rsidR="000527FC" w:rsidRPr="00B35018" w:rsidRDefault="000527FC" w:rsidP="00D0092F">
            <w:pPr>
              <w:jc w:val="center"/>
              <w:rPr>
                <w:rFonts w:ascii="Comic Sans MS" w:hAnsi="Comic Sans MS"/>
                <w:sz w:val="20"/>
                <w:szCs w:val="20"/>
              </w:rPr>
            </w:pPr>
          </w:p>
        </w:tc>
        <w:tc>
          <w:tcPr>
            <w:tcW w:w="2714" w:type="dxa"/>
            <w:vMerge/>
          </w:tcPr>
          <w:p w:rsidR="000527FC" w:rsidRPr="00B35018" w:rsidRDefault="000527FC" w:rsidP="00D0092F">
            <w:pPr>
              <w:rPr>
                <w:rFonts w:ascii="Comic Sans MS" w:hAnsi="Comic Sans MS"/>
                <w:sz w:val="20"/>
                <w:szCs w:val="20"/>
              </w:rPr>
            </w:pPr>
          </w:p>
        </w:tc>
      </w:tr>
      <w:tr w:rsidR="00D0092F" w:rsidRPr="00B35018" w:rsidTr="007D2F57">
        <w:trPr>
          <w:trHeight w:val="96"/>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801010</w:t>
            </w:r>
          </w:p>
        </w:tc>
        <w:tc>
          <w:tcPr>
            <w:tcW w:w="950"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801010</w:t>
            </w:r>
          </w:p>
        </w:tc>
        <w:tc>
          <w:tcPr>
            <w:tcW w:w="3664" w:type="dxa"/>
          </w:tcPr>
          <w:p w:rsidR="00D0092F" w:rsidRPr="003F3311" w:rsidRDefault="003F3311" w:rsidP="00D0092F">
            <w:pPr>
              <w:rPr>
                <w:rFonts w:ascii="Comic Sans MS" w:hAnsi="Comic Sans MS"/>
                <w:sz w:val="18"/>
                <w:szCs w:val="18"/>
              </w:rPr>
            </w:pPr>
            <w:r w:rsidRPr="003F3311">
              <w:rPr>
                <w:rFonts w:ascii="Comic Sans MS" w:hAnsi="Comic Sans MS"/>
                <w:color w:val="000000"/>
                <w:sz w:val="18"/>
                <w:szCs w:val="18"/>
                <w:shd w:val="clear" w:color="auto" w:fill="FFFFFF"/>
              </w:rPr>
              <w:t>Servicios de transporte de caudales y objetos de valor</w:t>
            </w:r>
          </w:p>
        </w:tc>
        <w:tc>
          <w:tcPr>
            <w:tcW w:w="1356" w:type="dxa"/>
            <w:vMerge/>
          </w:tcPr>
          <w:p w:rsidR="00D0092F" w:rsidRPr="00B35018" w:rsidRDefault="00D0092F" w:rsidP="00D0092F">
            <w:pPr>
              <w:jc w:val="center"/>
              <w:rPr>
                <w:rFonts w:ascii="Comic Sans MS" w:hAnsi="Comic Sans MS"/>
                <w:sz w:val="20"/>
                <w:szCs w:val="20"/>
              </w:rPr>
            </w:pPr>
          </w:p>
        </w:tc>
        <w:tc>
          <w:tcPr>
            <w:tcW w:w="2714" w:type="dxa"/>
            <w:vMerge/>
          </w:tcPr>
          <w:p w:rsidR="00D0092F" w:rsidRPr="00B35018" w:rsidRDefault="00D0092F" w:rsidP="00D0092F">
            <w:pPr>
              <w:rPr>
                <w:rFonts w:ascii="Comic Sans MS" w:hAnsi="Comic Sans MS"/>
                <w:sz w:val="20"/>
                <w:szCs w:val="20"/>
              </w:rPr>
            </w:pPr>
          </w:p>
        </w:tc>
      </w:tr>
      <w:tr w:rsidR="00D0092F" w:rsidRPr="00B35018" w:rsidTr="007D2F57">
        <w:trPr>
          <w:trHeight w:val="327"/>
        </w:trPr>
        <w:tc>
          <w:tcPr>
            <w:tcW w:w="1085" w:type="dxa"/>
          </w:tcPr>
          <w:p w:rsidR="00D0092F" w:rsidRPr="00D0092F" w:rsidRDefault="00D0092F" w:rsidP="008F0E1D">
            <w:pPr>
              <w:jc w:val="center"/>
              <w:rPr>
                <w:rFonts w:ascii="Comic Sans MS" w:hAnsi="Comic Sans MS"/>
                <w:sz w:val="18"/>
                <w:szCs w:val="18"/>
              </w:rPr>
            </w:pPr>
            <w:r w:rsidRPr="00D0092F">
              <w:rPr>
                <w:rFonts w:ascii="Comic Sans MS" w:hAnsi="Comic Sans MS"/>
                <w:sz w:val="18"/>
                <w:szCs w:val="18"/>
              </w:rPr>
              <w:t>530010</w:t>
            </w:r>
          </w:p>
        </w:tc>
        <w:tc>
          <w:tcPr>
            <w:tcW w:w="950" w:type="dxa"/>
          </w:tcPr>
          <w:p w:rsidR="00D0092F" w:rsidRPr="00D0092F" w:rsidRDefault="003F3311" w:rsidP="008F0E1D">
            <w:pPr>
              <w:jc w:val="center"/>
              <w:rPr>
                <w:rFonts w:ascii="Comic Sans MS" w:hAnsi="Comic Sans MS"/>
                <w:sz w:val="18"/>
                <w:szCs w:val="18"/>
              </w:rPr>
            </w:pPr>
            <w:r>
              <w:rPr>
                <w:rFonts w:ascii="Comic Sans MS" w:hAnsi="Comic Sans MS"/>
                <w:sz w:val="18"/>
                <w:szCs w:val="18"/>
              </w:rPr>
              <w:t>530010</w:t>
            </w:r>
          </w:p>
        </w:tc>
        <w:tc>
          <w:tcPr>
            <w:tcW w:w="3664" w:type="dxa"/>
          </w:tcPr>
          <w:p w:rsidR="00D0092F" w:rsidRPr="003F3311" w:rsidRDefault="003F3311" w:rsidP="003F3311">
            <w:pPr>
              <w:jc w:val="both"/>
              <w:rPr>
                <w:rFonts w:ascii="Comic Sans MS" w:hAnsi="Comic Sans MS"/>
                <w:sz w:val="18"/>
                <w:szCs w:val="18"/>
              </w:rPr>
            </w:pPr>
            <w:r w:rsidRPr="003F3311">
              <w:rPr>
                <w:rFonts w:ascii="Comic Sans MS" w:hAnsi="Comic Sans MS"/>
                <w:color w:val="000000"/>
                <w:sz w:val="18"/>
                <w:szCs w:val="18"/>
                <w:shd w:val="clear" w:color="auto" w:fill="FFFFFF"/>
              </w:rPr>
              <w:t>Servicios de correo postal</w:t>
            </w:r>
            <w:r w:rsidR="008F0E1D">
              <w:rPr>
                <w:rFonts w:ascii="Comic Sans MS" w:hAnsi="Comic Sans MS"/>
                <w:color w:val="000000"/>
                <w:sz w:val="18"/>
                <w:szCs w:val="18"/>
                <w:shd w:val="clear" w:color="auto" w:fill="FFFFFF"/>
              </w:rPr>
              <w:t>.</w:t>
            </w:r>
          </w:p>
        </w:tc>
        <w:tc>
          <w:tcPr>
            <w:tcW w:w="1356" w:type="dxa"/>
          </w:tcPr>
          <w:p w:rsidR="00D0092F" w:rsidRPr="00B35018" w:rsidRDefault="003F3311" w:rsidP="00D0092F">
            <w:pPr>
              <w:jc w:val="center"/>
              <w:rPr>
                <w:rFonts w:ascii="Comic Sans MS" w:hAnsi="Comic Sans MS"/>
                <w:b/>
                <w:sz w:val="20"/>
                <w:szCs w:val="20"/>
              </w:rPr>
            </w:pPr>
            <w:r>
              <w:rPr>
                <w:rFonts w:ascii="Comic Sans MS" w:hAnsi="Comic Sans MS"/>
                <w:b/>
                <w:sz w:val="20"/>
                <w:szCs w:val="20"/>
              </w:rPr>
              <w:t>4</w:t>
            </w:r>
            <w:r w:rsidR="00D0092F" w:rsidRPr="00B35018">
              <w:rPr>
                <w:rFonts w:ascii="Comic Sans MS" w:hAnsi="Comic Sans MS"/>
                <w:b/>
                <w:sz w:val="20"/>
                <w:szCs w:val="20"/>
              </w:rPr>
              <w:t>%</w:t>
            </w:r>
          </w:p>
          <w:p w:rsidR="00D0092F" w:rsidRPr="00B35018" w:rsidRDefault="00D0092F" w:rsidP="00D0092F">
            <w:pPr>
              <w:jc w:val="center"/>
              <w:rPr>
                <w:rFonts w:ascii="Comic Sans MS" w:hAnsi="Comic Sans MS"/>
                <w:b/>
                <w:sz w:val="20"/>
                <w:szCs w:val="20"/>
              </w:rPr>
            </w:pPr>
          </w:p>
        </w:tc>
        <w:tc>
          <w:tcPr>
            <w:tcW w:w="2714" w:type="dxa"/>
            <w:vMerge/>
          </w:tcPr>
          <w:p w:rsidR="00D0092F" w:rsidRPr="00B35018" w:rsidRDefault="00D0092F" w:rsidP="00D0092F">
            <w:pPr>
              <w:rPr>
                <w:rFonts w:ascii="Comic Sans MS" w:hAnsi="Comic Sans MS"/>
                <w:sz w:val="20"/>
                <w:szCs w:val="20"/>
              </w:rPr>
            </w:pPr>
          </w:p>
        </w:tc>
      </w:tr>
      <w:tr w:rsidR="00A92349" w:rsidRPr="00B35018" w:rsidTr="007D2F57">
        <w:trPr>
          <w:trHeight w:val="68"/>
        </w:trPr>
        <w:tc>
          <w:tcPr>
            <w:tcW w:w="1085" w:type="dxa"/>
          </w:tcPr>
          <w:p w:rsidR="00A92349" w:rsidRPr="00D0092F" w:rsidRDefault="00A92349" w:rsidP="008F0E1D">
            <w:pPr>
              <w:jc w:val="center"/>
              <w:rPr>
                <w:rFonts w:ascii="Comic Sans MS" w:hAnsi="Comic Sans MS"/>
                <w:sz w:val="18"/>
                <w:szCs w:val="18"/>
              </w:rPr>
            </w:pPr>
          </w:p>
          <w:p w:rsidR="00A92349" w:rsidRPr="00D0092F" w:rsidRDefault="00A92349" w:rsidP="008F0E1D">
            <w:pPr>
              <w:jc w:val="center"/>
              <w:rPr>
                <w:rFonts w:ascii="Comic Sans MS" w:hAnsi="Comic Sans MS"/>
                <w:sz w:val="18"/>
                <w:szCs w:val="18"/>
              </w:rPr>
            </w:pPr>
            <w:r w:rsidRPr="00D0092F">
              <w:rPr>
                <w:rFonts w:ascii="Comic Sans MS" w:hAnsi="Comic Sans MS"/>
                <w:sz w:val="18"/>
                <w:szCs w:val="18"/>
              </w:rPr>
              <w:t>381100</w:t>
            </w:r>
          </w:p>
        </w:tc>
        <w:tc>
          <w:tcPr>
            <w:tcW w:w="950" w:type="dxa"/>
          </w:tcPr>
          <w:p w:rsidR="00A92349" w:rsidRPr="00D0092F" w:rsidRDefault="00A92349" w:rsidP="008F0E1D">
            <w:pPr>
              <w:jc w:val="center"/>
              <w:rPr>
                <w:rFonts w:ascii="Comic Sans MS" w:hAnsi="Comic Sans MS"/>
                <w:sz w:val="18"/>
                <w:szCs w:val="18"/>
              </w:rPr>
            </w:pPr>
          </w:p>
          <w:p w:rsidR="00A92349" w:rsidRPr="00D0092F" w:rsidRDefault="00A92349" w:rsidP="008F0E1D">
            <w:pPr>
              <w:jc w:val="center"/>
              <w:rPr>
                <w:rFonts w:ascii="Comic Sans MS" w:hAnsi="Comic Sans MS"/>
                <w:sz w:val="18"/>
                <w:szCs w:val="18"/>
              </w:rPr>
            </w:pPr>
            <w:r>
              <w:rPr>
                <w:rFonts w:ascii="Comic Sans MS" w:hAnsi="Comic Sans MS"/>
                <w:sz w:val="18"/>
                <w:szCs w:val="18"/>
              </w:rPr>
              <w:t>381100</w:t>
            </w:r>
          </w:p>
        </w:tc>
        <w:tc>
          <w:tcPr>
            <w:tcW w:w="3664" w:type="dxa"/>
          </w:tcPr>
          <w:p w:rsidR="00A92349" w:rsidRPr="00D0092F" w:rsidRDefault="00A92349" w:rsidP="00D0092F">
            <w:pPr>
              <w:rPr>
                <w:rFonts w:ascii="Comic Sans MS" w:hAnsi="Comic Sans MS"/>
                <w:sz w:val="18"/>
                <w:szCs w:val="18"/>
              </w:rPr>
            </w:pPr>
            <w:r w:rsidRPr="00D0092F">
              <w:rPr>
                <w:rFonts w:ascii="Comic Sans MS" w:hAnsi="Comic Sans MS"/>
                <w:sz w:val="18"/>
                <w:szCs w:val="18"/>
              </w:rPr>
              <w:t>Recolección, transporte, tratamiento y disposición final de residuos no peligrosos</w:t>
            </w:r>
          </w:p>
        </w:tc>
        <w:tc>
          <w:tcPr>
            <w:tcW w:w="1356" w:type="dxa"/>
            <w:vMerge w:val="restart"/>
          </w:tcPr>
          <w:p w:rsidR="00A92349" w:rsidRDefault="00A92349" w:rsidP="00D0092F">
            <w:pPr>
              <w:jc w:val="center"/>
              <w:rPr>
                <w:rFonts w:ascii="Comic Sans MS" w:hAnsi="Comic Sans MS"/>
                <w:b/>
                <w:sz w:val="20"/>
                <w:szCs w:val="20"/>
              </w:rPr>
            </w:pPr>
          </w:p>
          <w:p w:rsidR="007D2F57" w:rsidRDefault="007D2F57" w:rsidP="00D0092F">
            <w:pPr>
              <w:jc w:val="center"/>
              <w:rPr>
                <w:rFonts w:ascii="Comic Sans MS" w:hAnsi="Comic Sans MS"/>
                <w:b/>
                <w:sz w:val="20"/>
                <w:szCs w:val="20"/>
              </w:rPr>
            </w:pPr>
          </w:p>
          <w:p w:rsidR="00A92349" w:rsidRPr="00B35018" w:rsidRDefault="00A92349" w:rsidP="00D0092F">
            <w:pPr>
              <w:jc w:val="center"/>
              <w:rPr>
                <w:rFonts w:ascii="Comic Sans MS" w:hAnsi="Comic Sans MS"/>
                <w:b/>
                <w:sz w:val="20"/>
                <w:szCs w:val="20"/>
              </w:rPr>
            </w:pPr>
            <w:r>
              <w:rPr>
                <w:rFonts w:ascii="Comic Sans MS" w:hAnsi="Comic Sans MS"/>
                <w:b/>
                <w:sz w:val="20"/>
                <w:szCs w:val="20"/>
              </w:rPr>
              <w:t>4(*)</w:t>
            </w:r>
          </w:p>
        </w:tc>
        <w:tc>
          <w:tcPr>
            <w:tcW w:w="2714" w:type="dxa"/>
            <w:vMerge/>
          </w:tcPr>
          <w:p w:rsidR="00A92349" w:rsidRPr="00B35018" w:rsidRDefault="00A92349" w:rsidP="00D0092F">
            <w:pPr>
              <w:rPr>
                <w:rFonts w:ascii="Comic Sans MS" w:hAnsi="Comic Sans MS"/>
                <w:sz w:val="20"/>
                <w:szCs w:val="20"/>
              </w:rPr>
            </w:pPr>
          </w:p>
        </w:tc>
      </w:tr>
      <w:tr w:rsidR="00A92349" w:rsidRPr="00B35018" w:rsidTr="007D2F57">
        <w:trPr>
          <w:trHeight w:val="367"/>
        </w:trPr>
        <w:tc>
          <w:tcPr>
            <w:tcW w:w="1085" w:type="dxa"/>
          </w:tcPr>
          <w:p w:rsidR="00A92349" w:rsidRPr="00D0092F" w:rsidRDefault="00A92349" w:rsidP="008F0E1D">
            <w:pPr>
              <w:jc w:val="center"/>
              <w:rPr>
                <w:rFonts w:ascii="Comic Sans MS" w:hAnsi="Comic Sans MS"/>
                <w:sz w:val="18"/>
                <w:szCs w:val="18"/>
              </w:rPr>
            </w:pPr>
          </w:p>
          <w:p w:rsidR="00A92349" w:rsidRPr="00D0092F" w:rsidRDefault="00A92349" w:rsidP="008F0E1D">
            <w:pPr>
              <w:jc w:val="center"/>
              <w:rPr>
                <w:rFonts w:ascii="Comic Sans MS" w:hAnsi="Comic Sans MS"/>
                <w:sz w:val="18"/>
                <w:szCs w:val="18"/>
              </w:rPr>
            </w:pPr>
            <w:r w:rsidRPr="00D0092F">
              <w:rPr>
                <w:rFonts w:ascii="Comic Sans MS" w:hAnsi="Comic Sans MS"/>
                <w:sz w:val="18"/>
                <w:szCs w:val="18"/>
              </w:rPr>
              <w:t>381200</w:t>
            </w:r>
          </w:p>
        </w:tc>
        <w:tc>
          <w:tcPr>
            <w:tcW w:w="950" w:type="dxa"/>
          </w:tcPr>
          <w:p w:rsidR="00A92349" w:rsidRPr="00D0092F" w:rsidRDefault="00A92349" w:rsidP="008F0E1D">
            <w:pPr>
              <w:jc w:val="center"/>
              <w:rPr>
                <w:rFonts w:ascii="Comic Sans MS" w:hAnsi="Comic Sans MS"/>
                <w:sz w:val="18"/>
                <w:szCs w:val="18"/>
              </w:rPr>
            </w:pPr>
          </w:p>
          <w:p w:rsidR="00A92349" w:rsidRPr="00D0092F" w:rsidRDefault="00A92349" w:rsidP="008F0E1D">
            <w:pPr>
              <w:jc w:val="center"/>
              <w:rPr>
                <w:rFonts w:ascii="Comic Sans MS" w:hAnsi="Comic Sans MS"/>
                <w:sz w:val="18"/>
                <w:szCs w:val="18"/>
              </w:rPr>
            </w:pPr>
            <w:r>
              <w:rPr>
                <w:rFonts w:ascii="Comic Sans MS" w:hAnsi="Comic Sans MS"/>
                <w:sz w:val="18"/>
                <w:szCs w:val="18"/>
              </w:rPr>
              <w:t>381200</w:t>
            </w:r>
          </w:p>
        </w:tc>
        <w:tc>
          <w:tcPr>
            <w:tcW w:w="3664" w:type="dxa"/>
          </w:tcPr>
          <w:p w:rsidR="00A92349" w:rsidRPr="00D0092F" w:rsidRDefault="00A92349" w:rsidP="00D0092F">
            <w:pPr>
              <w:rPr>
                <w:rFonts w:ascii="Comic Sans MS" w:hAnsi="Comic Sans MS"/>
                <w:sz w:val="18"/>
                <w:szCs w:val="18"/>
              </w:rPr>
            </w:pPr>
            <w:r w:rsidRPr="00D0092F">
              <w:rPr>
                <w:rFonts w:ascii="Comic Sans MS" w:hAnsi="Comic Sans MS"/>
                <w:sz w:val="18"/>
                <w:szCs w:val="18"/>
              </w:rPr>
              <w:t xml:space="preserve">Recolección, transporte, tratamiento y disposición final de </w:t>
            </w:r>
            <w:proofErr w:type="gramStart"/>
            <w:r w:rsidRPr="00D0092F">
              <w:rPr>
                <w:rFonts w:ascii="Comic Sans MS" w:hAnsi="Comic Sans MS"/>
                <w:sz w:val="18"/>
                <w:szCs w:val="18"/>
              </w:rPr>
              <w:t>residuos  peligrosos</w:t>
            </w:r>
            <w:proofErr w:type="gramEnd"/>
          </w:p>
        </w:tc>
        <w:tc>
          <w:tcPr>
            <w:tcW w:w="1356" w:type="dxa"/>
            <w:vMerge/>
          </w:tcPr>
          <w:p w:rsidR="00A92349" w:rsidRPr="00B35018" w:rsidRDefault="00A92349" w:rsidP="00D0092F">
            <w:pPr>
              <w:jc w:val="center"/>
              <w:rPr>
                <w:rFonts w:ascii="Comic Sans MS" w:hAnsi="Comic Sans MS"/>
                <w:b/>
                <w:sz w:val="20"/>
                <w:szCs w:val="20"/>
              </w:rPr>
            </w:pPr>
          </w:p>
        </w:tc>
        <w:tc>
          <w:tcPr>
            <w:tcW w:w="2714" w:type="dxa"/>
            <w:vMerge/>
          </w:tcPr>
          <w:p w:rsidR="00A92349" w:rsidRPr="00B35018" w:rsidRDefault="00A92349" w:rsidP="00D0092F">
            <w:pPr>
              <w:rPr>
                <w:rFonts w:ascii="Comic Sans MS" w:hAnsi="Comic Sans MS"/>
                <w:sz w:val="20"/>
                <w:szCs w:val="20"/>
              </w:rPr>
            </w:pPr>
          </w:p>
        </w:tc>
      </w:tr>
      <w:tr w:rsidR="00A92349" w:rsidRPr="00B35018" w:rsidTr="007D2F57">
        <w:trPr>
          <w:trHeight w:val="608"/>
        </w:trPr>
        <w:tc>
          <w:tcPr>
            <w:tcW w:w="1085" w:type="dxa"/>
          </w:tcPr>
          <w:p w:rsidR="00A92349" w:rsidRPr="00D0092F" w:rsidRDefault="00A92349" w:rsidP="008F0E1D">
            <w:pPr>
              <w:jc w:val="center"/>
              <w:rPr>
                <w:rFonts w:ascii="Comic Sans MS" w:hAnsi="Comic Sans MS"/>
                <w:sz w:val="18"/>
                <w:szCs w:val="18"/>
              </w:rPr>
            </w:pPr>
            <w:r w:rsidRPr="00D0092F">
              <w:rPr>
                <w:rFonts w:ascii="Comic Sans MS" w:hAnsi="Comic Sans MS"/>
                <w:sz w:val="18"/>
                <w:szCs w:val="18"/>
              </w:rPr>
              <w:t>390000</w:t>
            </w:r>
          </w:p>
        </w:tc>
        <w:tc>
          <w:tcPr>
            <w:tcW w:w="950" w:type="dxa"/>
          </w:tcPr>
          <w:p w:rsidR="00A92349" w:rsidRPr="00D0092F" w:rsidRDefault="00A92349" w:rsidP="008F0E1D">
            <w:pPr>
              <w:jc w:val="center"/>
              <w:rPr>
                <w:rFonts w:ascii="Comic Sans MS" w:hAnsi="Comic Sans MS"/>
                <w:sz w:val="18"/>
                <w:szCs w:val="18"/>
              </w:rPr>
            </w:pPr>
            <w:r>
              <w:rPr>
                <w:rFonts w:ascii="Comic Sans MS" w:hAnsi="Comic Sans MS"/>
                <w:sz w:val="18"/>
                <w:szCs w:val="18"/>
              </w:rPr>
              <w:t>39000</w:t>
            </w:r>
          </w:p>
        </w:tc>
        <w:tc>
          <w:tcPr>
            <w:tcW w:w="3664" w:type="dxa"/>
          </w:tcPr>
          <w:p w:rsidR="00A92349" w:rsidRPr="00D0092F" w:rsidRDefault="00A92349" w:rsidP="00D0092F">
            <w:pPr>
              <w:rPr>
                <w:rFonts w:ascii="Comic Sans MS" w:hAnsi="Comic Sans MS"/>
                <w:sz w:val="18"/>
                <w:szCs w:val="18"/>
              </w:rPr>
            </w:pPr>
            <w:r w:rsidRPr="00D0092F">
              <w:rPr>
                <w:rFonts w:ascii="Comic Sans MS" w:hAnsi="Comic Sans MS"/>
                <w:sz w:val="18"/>
                <w:szCs w:val="18"/>
              </w:rPr>
              <w:t>Descontaminación y otros servicios de gestión de residuos</w:t>
            </w:r>
          </w:p>
        </w:tc>
        <w:tc>
          <w:tcPr>
            <w:tcW w:w="1356" w:type="dxa"/>
            <w:vMerge/>
          </w:tcPr>
          <w:p w:rsidR="00A92349" w:rsidRPr="00B35018" w:rsidRDefault="00A92349" w:rsidP="00D0092F">
            <w:pPr>
              <w:jc w:val="center"/>
              <w:rPr>
                <w:rFonts w:ascii="Comic Sans MS" w:hAnsi="Comic Sans MS"/>
                <w:b/>
                <w:sz w:val="20"/>
                <w:szCs w:val="20"/>
              </w:rPr>
            </w:pPr>
          </w:p>
        </w:tc>
        <w:tc>
          <w:tcPr>
            <w:tcW w:w="2714" w:type="dxa"/>
            <w:vMerge/>
          </w:tcPr>
          <w:p w:rsidR="00A92349" w:rsidRPr="00B35018" w:rsidRDefault="00A92349" w:rsidP="00D0092F">
            <w:pPr>
              <w:rPr>
                <w:rFonts w:ascii="Comic Sans MS" w:hAnsi="Comic Sans MS"/>
                <w:sz w:val="20"/>
                <w:szCs w:val="20"/>
              </w:rPr>
            </w:pPr>
          </w:p>
        </w:tc>
      </w:tr>
    </w:tbl>
    <w:p w:rsidR="001661DA" w:rsidRPr="001661DA" w:rsidRDefault="001661DA" w:rsidP="00185316">
      <w:pPr>
        <w:pStyle w:val="campoocultonovedades"/>
        <w:jc w:val="both"/>
      </w:pPr>
      <w:r w:rsidRPr="001661DA">
        <w:rPr>
          <w:rStyle w:val="destination"/>
        </w:rPr>
        <w:t>I.</w:t>
      </w:r>
      <w:proofErr w:type="gramStart"/>
      <w:r w:rsidRPr="001661DA">
        <w:rPr>
          <w:rStyle w:val="destination"/>
        </w:rPr>
        <w:t>AI.IP.Mendoza.IB.Alicuotas.2008.n</w:t>
      </w:r>
      <w:proofErr w:type="gramEnd"/>
      <w:r w:rsidRPr="001661DA">
        <w:rPr>
          <w:rStyle w:val="destination"/>
        </w:rPr>
        <w:t>12</w:t>
      </w:r>
    </w:p>
    <w:p w:rsidR="0088634A" w:rsidRDefault="0088634A" w:rsidP="000F569B">
      <w:pPr>
        <w:autoSpaceDE w:val="0"/>
        <w:autoSpaceDN w:val="0"/>
        <w:adjustRightInd w:val="0"/>
        <w:rPr>
          <w:rFonts w:ascii="Comic Sans MS" w:eastAsia="Calibri" w:hAnsi="Comic Sans MS" w:cs="Arial"/>
          <w:b/>
          <w:bCs/>
          <w:color w:val="292526"/>
          <w:sz w:val="18"/>
          <w:szCs w:val="18"/>
        </w:rPr>
      </w:pPr>
    </w:p>
    <w:p w:rsidR="00BB07D3" w:rsidRDefault="00BB07D3" w:rsidP="000F569B">
      <w:pPr>
        <w:autoSpaceDE w:val="0"/>
        <w:autoSpaceDN w:val="0"/>
        <w:adjustRightInd w:val="0"/>
        <w:rPr>
          <w:rFonts w:ascii="Comic Sans MS" w:eastAsia="Calibri" w:hAnsi="Comic Sans MS" w:cs="Arial"/>
          <w:b/>
          <w:bCs/>
          <w:color w:val="292526"/>
          <w:sz w:val="18"/>
          <w:szCs w:val="18"/>
        </w:rPr>
      </w:pPr>
    </w:p>
    <w:p w:rsidR="00BB07D3" w:rsidRDefault="00BB07D3" w:rsidP="000F569B">
      <w:pPr>
        <w:autoSpaceDE w:val="0"/>
        <w:autoSpaceDN w:val="0"/>
        <w:adjustRightInd w:val="0"/>
        <w:rPr>
          <w:rFonts w:ascii="Comic Sans MS" w:eastAsia="Calibri" w:hAnsi="Comic Sans MS" w:cs="Arial"/>
          <w:b/>
          <w:bCs/>
          <w:color w:val="292526"/>
          <w:sz w:val="18"/>
          <w:szCs w:val="18"/>
        </w:rPr>
      </w:pPr>
    </w:p>
    <w:p w:rsidR="007D2F57" w:rsidRDefault="007D2F57" w:rsidP="000F569B">
      <w:pPr>
        <w:autoSpaceDE w:val="0"/>
        <w:autoSpaceDN w:val="0"/>
        <w:adjustRightInd w:val="0"/>
        <w:rPr>
          <w:rFonts w:ascii="Comic Sans MS" w:eastAsia="Calibri" w:hAnsi="Comic Sans MS" w:cs="Arial"/>
          <w:b/>
          <w:bCs/>
          <w:color w:val="292526"/>
          <w:sz w:val="18"/>
          <w:szCs w:val="18"/>
        </w:rPr>
      </w:pPr>
    </w:p>
    <w:p w:rsidR="007D2F57" w:rsidRDefault="007D2F57" w:rsidP="000F569B">
      <w:pPr>
        <w:autoSpaceDE w:val="0"/>
        <w:autoSpaceDN w:val="0"/>
        <w:adjustRightInd w:val="0"/>
        <w:rPr>
          <w:rFonts w:ascii="Comic Sans MS" w:eastAsia="Calibri" w:hAnsi="Comic Sans MS" w:cs="Arial"/>
          <w:b/>
          <w:bCs/>
          <w:color w:val="292526"/>
          <w:sz w:val="18"/>
          <w:szCs w:val="18"/>
        </w:rPr>
      </w:pPr>
    </w:p>
    <w:p w:rsidR="007D2F57" w:rsidRDefault="007D2F57" w:rsidP="000F569B">
      <w:pPr>
        <w:autoSpaceDE w:val="0"/>
        <w:autoSpaceDN w:val="0"/>
        <w:adjustRightInd w:val="0"/>
        <w:rPr>
          <w:rFonts w:ascii="Comic Sans MS" w:eastAsia="Calibri" w:hAnsi="Comic Sans MS" w:cs="Arial"/>
          <w:b/>
          <w:bCs/>
          <w:color w:val="292526"/>
          <w:sz w:val="18"/>
          <w:szCs w:val="18"/>
        </w:rPr>
      </w:pPr>
    </w:p>
    <w:p w:rsidR="007D2F57" w:rsidRDefault="007D2F57" w:rsidP="000F569B">
      <w:pPr>
        <w:autoSpaceDE w:val="0"/>
        <w:autoSpaceDN w:val="0"/>
        <w:adjustRightInd w:val="0"/>
        <w:rPr>
          <w:rFonts w:ascii="Comic Sans MS" w:eastAsia="Calibri" w:hAnsi="Comic Sans MS" w:cs="Arial"/>
          <w:b/>
          <w:bCs/>
          <w:color w:val="292526"/>
          <w:sz w:val="18"/>
          <w:szCs w:val="18"/>
        </w:rPr>
      </w:pPr>
    </w:p>
    <w:p w:rsidR="000F569B" w:rsidRPr="00B35018" w:rsidRDefault="00EA4D5F" w:rsidP="000F569B">
      <w:pPr>
        <w:autoSpaceDE w:val="0"/>
        <w:autoSpaceDN w:val="0"/>
        <w:adjustRightInd w:val="0"/>
        <w:rPr>
          <w:rFonts w:ascii="Comic Sans MS" w:eastAsia="Calibri" w:hAnsi="Comic Sans MS" w:cs="Arial"/>
          <w:b/>
          <w:bCs/>
          <w:color w:val="292526"/>
          <w:sz w:val="18"/>
          <w:szCs w:val="18"/>
        </w:rPr>
      </w:pPr>
      <w:r w:rsidRPr="00557477">
        <w:rPr>
          <w:rFonts w:ascii="Comic Sans MS" w:eastAsia="Calibri" w:hAnsi="Comic Sans MS" w:cs="Arial"/>
          <w:b/>
          <w:bCs/>
          <w:color w:val="292526"/>
          <w:sz w:val="18"/>
          <w:szCs w:val="18"/>
          <w:highlight w:val="yellow"/>
        </w:rPr>
        <w:lastRenderedPageBreak/>
        <w:t xml:space="preserve">(*) </w:t>
      </w:r>
      <w:r w:rsidR="000F569B" w:rsidRPr="00557477">
        <w:rPr>
          <w:rFonts w:ascii="Comic Sans MS" w:eastAsia="Calibri" w:hAnsi="Comic Sans MS" w:cs="Arial"/>
          <w:b/>
          <w:bCs/>
          <w:color w:val="292526"/>
          <w:sz w:val="18"/>
          <w:szCs w:val="18"/>
          <w:highlight w:val="yellow"/>
        </w:rPr>
        <w:t>LEY IMPOSITIVA 201</w:t>
      </w:r>
      <w:r w:rsidR="003F3311" w:rsidRPr="00557477">
        <w:rPr>
          <w:rFonts w:ascii="Comic Sans MS" w:eastAsia="Calibri" w:hAnsi="Comic Sans MS" w:cs="Arial"/>
          <w:b/>
          <w:bCs/>
          <w:color w:val="292526"/>
          <w:sz w:val="18"/>
          <w:szCs w:val="18"/>
          <w:highlight w:val="yellow"/>
        </w:rPr>
        <w:t>9</w:t>
      </w:r>
      <w:r w:rsidR="00627036" w:rsidRPr="00557477">
        <w:rPr>
          <w:rFonts w:ascii="Comic Sans MS" w:eastAsia="Calibri" w:hAnsi="Comic Sans MS" w:cs="Arial"/>
          <w:b/>
          <w:bCs/>
          <w:color w:val="292526"/>
          <w:sz w:val="18"/>
          <w:szCs w:val="18"/>
          <w:highlight w:val="yellow"/>
        </w:rPr>
        <w:t xml:space="preserve"> ley 9</w:t>
      </w:r>
      <w:r w:rsidR="003F3311" w:rsidRPr="00557477">
        <w:rPr>
          <w:rFonts w:ascii="Comic Sans MS" w:eastAsia="Calibri" w:hAnsi="Comic Sans MS" w:cs="Arial"/>
          <w:b/>
          <w:bCs/>
          <w:color w:val="292526"/>
          <w:sz w:val="18"/>
          <w:szCs w:val="18"/>
          <w:highlight w:val="yellow"/>
        </w:rPr>
        <w:t>188</w:t>
      </w:r>
    </w:p>
    <w:p w:rsidR="000F569B" w:rsidRPr="00B35018" w:rsidRDefault="000F569B" w:rsidP="000F569B">
      <w:pPr>
        <w:autoSpaceDE w:val="0"/>
        <w:autoSpaceDN w:val="0"/>
        <w:adjustRightInd w:val="0"/>
        <w:rPr>
          <w:rFonts w:ascii="Comic Sans MS" w:eastAsia="Calibri" w:hAnsi="Comic Sans MS" w:cs="Arial"/>
          <w:b/>
          <w:bCs/>
          <w:color w:val="292526"/>
          <w:sz w:val="18"/>
          <w:szCs w:val="18"/>
        </w:rPr>
      </w:pPr>
      <w:r w:rsidRPr="00B35018">
        <w:rPr>
          <w:rFonts w:ascii="Comic Sans MS" w:eastAsia="Calibri" w:hAnsi="Comic Sans MS" w:cs="Arial"/>
          <w:b/>
          <w:bCs/>
          <w:color w:val="292526"/>
          <w:sz w:val="18"/>
          <w:szCs w:val="18"/>
        </w:rPr>
        <w:t>DETALLE REFERENCIAS. DE LA PLANTILLA ANALÍTICA</w:t>
      </w:r>
      <w:r w:rsidR="00EA4D5F" w:rsidRPr="00B35018">
        <w:rPr>
          <w:rFonts w:ascii="Comic Sans MS" w:eastAsia="Calibri" w:hAnsi="Comic Sans MS" w:cs="Arial"/>
          <w:b/>
          <w:bCs/>
          <w:color w:val="292526"/>
          <w:sz w:val="18"/>
          <w:szCs w:val="18"/>
        </w:rPr>
        <w:t xml:space="preserve"> </w:t>
      </w:r>
      <w:r w:rsidRPr="00B35018">
        <w:rPr>
          <w:rFonts w:ascii="Comic Sans MS" w:eastAsia="Calibri" w:hAnsi="Comic Sans MS" w:cs="Arial"/>
          <w:b/>
          <w:bCs/>
          <w:color w:val="292526"/>
          <w:sz w:val="18"/>
          <w:szCs w:val="18"/>
        </w:rPr>
        <w:t>ANEXA AL ARTICULO 3°</w:t>
      </w:r>
    </w:p>
    <w:p w:rsidR="000F569B" w:rsidRPr="00B35018" w:rsidRDefault="00397B83" w:rsidP="000F569B">
      <w:pPr>
        <w:autoSpaceDE w:val="0"/>
        <w:autoSpaceDN w:val="0"/>
        <w:adjustRightInd w:val="0"/>
        <w:rPr>
          <w:rFonts w:ascii="Comic Sans MS" w:eastAsia="Calibri" w:hAnsi="Comic Sans MS" w:cs="Arial"/>
          <w:color w:val="292526"/>
          <w:sz w:val="18"/>
          <w:szCs w:val="18"/>
        </w:rPr>
      </w:pPr>
      <w:r w:rsidRPr="00B35018">
        <w:rPr>
          <w:rFonts w:ascii="Comic Sans MS" w:eastAsia="Calibri" w:hAnsi="Comic Sans MS" w:cs="Arial"/>
          <w:color w:val="292526"/>
          <w:sz w:val="18"/>
          <w:szCs w:val="18"/>
        </w:rPr>
        <w:t>I</w:t>
      </w:r>
      <w:r w:rsidR="000F569B" w:rsidRPr="00B35018">
        <w:rPr>
          <w:rFonts w:ascii="Comic Sans MS" w:eastAsia="Calibri" w:hAnsi="Comic Sans MS" w:cs="Arial"/>
          <w:color w:val="292526"/>
          <w:sz w:val="18"/>
          <w:szCs w:val="18"/>
        </w:rPr>
        <w:t>) CONSIDERACIONES GENÉRALES</w:t>
      </w:r>
    </w:p>
    <w:p w:rsidR="00B858D2" w:rsidRDefault="00B858D2" w:rsidP="000F569B">
      <w:pPr>
        <w:autoSpaceDE w:val="0"/>
        <w:autoSpaceDN w:val="0"/>
        <w:adjustRightInd w:val="0"/>
        <w:rPr>
          <w:rFonts w:ascii="Comic Sans MS" w:eastAsia="Calibri" w:hAnsi="Comic Sans MS" w:cs="Arial"/>
          <w:color w:val="292526"/>
          <w:sz w:val="18"/>
          <w:szCs w:val="18"/>
        </w:rPr>
      </w:pPr>
    </w:p>
    <w:p w:rsidR="003F3311" w:rsidRPr="003F3311" w:rsidRDefault="003F3311" w:rsidP="003F3311">
      <w:pPr>
        <w:spacing w:before="80"/>
        <w:ind w:left="105" w:right="105" w:firstLine="105"/>
        <w:jc w:val="both"/>
        <w:rPr>
          <w:rFonts w:ascii="Verdana" w:hAnsi="Verdana"/>
          <w:b/>
          <w:color w:val="000000"/>
          <w:sz w:val="16"/>
          <w:szCs w:val="16"/>
          <w:lang w:val="es-AR" w:eastAsia="es-AR"/>
        </w:rPr>
      </w:pPr>
      <w:r w:rsidRPr="003F3311">
        <w:rPr>
          <w:rFonts w:ascii="Verdana" w:hAnsi="Verdana"/>
          <w:b/>
          <w:color w:val="000000"/>
          <w:sz w:val="16"/>
          <w:szCs w:val="16"/>
          <w:lang w:val="es-AR" w:eastAsia="es-AR"/>
        </w:rPr>
        <w:t xml:space="preserve">2) Actividades incluidas en los Rubros, 6: Comercio al por mayor, 7: Comercio minorista, 8: Expendio de comidas y bebidas, </w:t>
      </w:r>
      <w:r w:rsidRPr="00557477">
        <w:rPr>
          <w:rFonts w:ascii="Verdana" w:hAnsi="Verdana"/>
          <w:b/>
          <w:color w:val="000000"/>
          <w:sz w:val="16"/>
          <w:szCs w:val="16"/>
          <w:lang w:val="es-AR" w:eastAsia="es-AR"/>
        </w:rPr>
        <w:t>9: Transporte y almacenamiento</w:t>
      </w:r>
      <w:r w:rsidRPr="003F3311">
        <w:rPr>
          <w:rFonts w:ascii="Verdana" w:hAnsi="Verdana"/>
          <w:b/>
          <w:color w:val="000000"/>
          <w:sz w:val="16"/>
          <w:szCs w:val="16"/>
          <w:lang w:val="es-AR" w:eastAsia="es-AR"/>
        </w:rPr>
        <w:t xml:space="preserve">, 11: Establecimientos y Servicios Financieros, 12: Seguros, 13: Operaciones sobre inmuebles. 14: Servicios técnicos y profesionales, 15: Alquiler de cosas muebles y </w:t>
      </w:r>
      <w:r w:rsidRPr="007D2F57">
        <w:rPr>
          <w:rFonts w:ascii="Verdana" w:hAnsi="Verdana"/>
          <w:b/>
          <w:color w:val="000000"/>
          <w:sz w:val="16"/>
          <w:szCs w:val="16"/>
          <w:highlight w:val="yellow"/>
          <w:lang w:val="es-AR" w:eastAsia="es-AR"/>
        </w:rPr>
        <w:t>16: Servicios sociales comunales y personales.</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Se incrementará la alícuota que corresponda tributar de acuerdo a la siguiente escala:</w:t>
      </w:r>
    </w:p>
    <w:p w:rsidR="003F3311" w:rsidRPr="003F3311" w:rsidRDefault="003F3311" w:rsidP="003F3311">
      <w:pPr>
        <w:spacing w:before="80"/>
        <w:ind w:left="270" w:right="105"/>
        <w:jc w:val="both"/>
        <w:rPr>
          <w:rFonts w:ascii="Verdana" w:hAnsi="Verdana"/>
          <w:color w:val="000000"/>
          <w:sz w:val="16"/>
          <w:szCs w:val="16"/>
          <w:lang w:val="es-AR" w:eastAsia="es-AR"/>
        </w:rPr>
      </w:pPr>
      <w:r w:rsidRPr="003F3311">
        <w:rPr>
          <w:rFonts w:ascii="Verdana" w:hAnsi="Verdana"/>
          <w:color w:val="000000"/>
          <w:sz w:val="16"/>
          <w:szCs w:val="16"/>
          <w:lang w:val="es-AR" w:eastAsia="es-AR"/>
        </w:rPr>
        <w:t>a) Cinco por mil (5‰), para el total de ingresos comprendidos entre la suma de pesos treinta y siete millones ($ 37.000.000) y pesos setenta y cuatro millones ($ 74.000.000).</w:t>
      </w:r>
    </w:p>
    <w:p w:rsidR="003F3311" w:rsidRPr="003F3311" w:rsidRDefault="003F3311" w:rsidP="003F3311">
      <w:pPr>
        <w:spacing w:before="80"/>
        <w:ind w:left="270" w:right="105"/>
        <w:jc w:val="both"/>
        <w:rPr>
          <w:rFonts w:ascii="Verdana" w:hAnsi="Verdana"/>
          <w:color w:val="000000"/>
          <w:sz w:val="16"/>
          <w:szCs w:val="16"/>
          <w:lang w:val="es-AR" w:eastAsia="es-AR"/>
        </w:rPr>
      </w:pPr>
      <w:r w:rsidRPr="003F3311">
        <w:rPr>
          <w:rFonts w:ascii="Verdana" w:hAnsi="Verdana"/>
          <w:color w:val="000000"/>
          <w:sz w:val="16"/>
          <w:szCs w:val="16"/>
          <w:lang w:val="es-AR" w:eastAsia="es-AR"/>
        </w:rPr>
        <w:t>b) Siete y medio por mil (7,5‰), para el total de ingresos comprendidos entre la suma de pesos setenta y cuatro millones uno ($ 74.000.001) y pesos ciento veintiséis millones quinientos mil ($ 126.500.000).</w:t>
      </w:r>
    </w:p>
    <w:p w:rsidR="003F3311" w:rsidRPr="003F3311" w:rsidRDefault="003F3311" w:rsidP="003F3311">
      <w:pPr>
        <w:spacing w:before="80"/>
        <w:ind w:left="270" w:right="105"/>
        <w:jc w:val="both"/>
        <w:rPr>
          <w:rFonts w:ascii="Verdana" w:hAnsi="Verdana"/>
          <w:color w:val="000000"/>
          <w:sz w:val="16"/>
          <w:szCs w:val="16"/>
          <w:lang w:val="es-AR" w:eastAsia="es-AR"/>
        </w:rPr>
      </w:pPr>
      <w:r w:rsidRPr="003F3311">
        <w:rPr>
          <w:rFonts w:ascii="Verdana" w:hAnsi="Verdana"/>
          <w:color w:val="000000"/>
          <w:sz w:val="16"/>
          <w:szCs w:val="16"/>
          <w:lang w:val="es-AR" w:eastAsia="es-AR"/>
        </w:rPr>
        <w:t>c) Uno por ciento (1%), para el total de ingresos que superen los pesos ciento veintiséis millones quinientos mil ($ 126.500.000).</w:t>
      </w:r>
    </w:p>
    <w:p w:rsidR="003F3311" w:rsidRPr="003F3311" w:rsidRDefault="003F3311" w:rsidP="003F3311">
      <w:pPr>
        <w:spacing w:before="80"/>
        <w:ind w:left="270" w:right="105"/>
        <w:jc w:val="both"/>
        <w:rPr>
          <w:rFonts w:ascii="Verdana" w:hAnsi="Verdana"/>
          <w:color w:val="000000"/>
          <w:sz w:val="16"/>
          <w:szCs w:val="16"/>
          <w:lang w:val="es-AR" w:eastAsia="es-AR"/>
        </w:rPr>
      </w:pPr>
      <w:r w:rsidRPr="003F3311">
        <w:rPr>
          <w:rFonts w:ascii="Verdana" w:hAnsi="Verdana"/>
          <w:color w:val="000000"/>
          <w:sz w:val="16"/>
          <w:szCs w:val="16"/>
          <w:lang w:val="es-AR" w:eastAsia="es-AR"/>
        </w:rPr>
        <w:t>A fin de determinar la escala correspondiente se computará el total de los ingresos gravados, no gravados y exentos obtenidos por el contribuyente en el período fiscal anterior, dentro o fuera de la provincia por el desarrollo de cualquier actividad.</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Cuando se trate de contribuyentes que hayan iniciado actividades durante el ejercicio fiscal en curso, quedarán comprendidos en el tratamiento del párrafo anterior, siempre que el total de los ingresos gravados, no gravados y exentos obtenidos por el contribuyente durante los dos primeros meses a partir del inicio de las mismas supere la suma de pesos diez millones ($ 10.000.000), pesos veinte millones ($ 20.000.000) y pesos treinta millones ($ 30.000.000) respectivamente para cada uno de los incisos anteriores.</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La alícuota establecida resultará aplicable exclusivamente a los ingresos provenientes de las actividades mencionadas, con el límite de ingresos atribuidos a la Provincia de Mendoza por esa misma actividad, para el supuesto de contribuyentes comprendidos en el régimen del Convenio Multilateral.</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Quedan exceptuadas:</w:t>
      </w:r>
    </w:p>
    <w:p w:rsidR="003F3311" w:rsidRPr="003F3311" w:rsidRDefault="003F3311" w:rsidP="003F3311">
      <w:pPr>
        <w:spacing w:before="80"/>
        <w:ind w:left="270" w:right="105"/>
        <w:jc w:val="both"/>
        <w:rPr>
          <w:rFonts w:ascii="Verdana" w:hAnsi="Verdana"/>
          <w:color w:val="000000"/>
          <w:sz w:val="16"/>
          <w:szCs w:val="16"/>
          <w:lang w:val="es-AR" w:eastAsia="es-AR"/>
        </w:rPr>
      </w:pPr>
      <w:r w:rsidRPr="003F3311">
        <w:rPr>
          <w:rFonts w:ascii="Verdana" w:hAnsi="Verdana"/>
          <w:color w:val="000000"/>
          <w:sz w:val="16"/>
          <w:szCs w:val="16"/>
          <w:lang w:val="es-AR" w:eastAsia="es-AR"/>
        </w:rPr>
        <w:t>a) Las actividades de distribución y venta de productos farmacéuticos/medicinales y de tocador cuando las mismas sean realizadas por instituciones sin fines de lucro.</w:t>
      </w:r>
    </w:p>
    <w:p w:rsidR="003F3311" w:rsidRPr="003F3311" w:rsidRDefault="003F3311" w:rsidP="003F3311">
      <w:pPr>
        <w:spacing w:before="80"/>
        <w:ind w:left="270" w:right="105"/>
        <w:jc w:val="both"/>
        <w:rPr>
          <w:rFonts w:ascii="Verdana" w:hAnsi="Verdana"/>
          <w:color w:val="000000"/>
          <w:sz w:val="16"/>
          <w:szCs w:val="16"/>
          <w:lang w:val="es-AR" w:eastAsia="es-AR"/>
        </w:rPr>
      </w:pPr>
      <w:r w:rsidRPr="003F3311">
        <w:rPr>
          <w:rFonts w:ascii="Verdana" w:hAnsi="Verdana"/>
          <w:color w:val="000000"/>
          <w:sz w:val="16"/>
          <w:szCs w:val="16"/>
          <w:lang w:val="es-AR" w:eastAsia="es-AR"/>
        </w:rPr>
        <w:t>b) Las actividades (61000), (62000), (192001) y (192002), (492110), (492150).</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highlight w:val="yellow"/>
          <w:lang w:val="es-AR" w:eastAsia="es-AR"/>
        </w:rPr>
        <w:t>En las actividades correspondientes al rubro 9, no se aplica el incremento de alícuotas a aquellas que utilizan la alícuota general del rubro o una inferior.</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En las actividades correspondientes al Rubro 12, la alícuota establecida no podrá superar el 5,50%.</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3) Para las actividades (110213) y (463211), las alícuotas de la Planilla Anexa podrán ser incrementadas por el Poder Ejecutivo hasta en un cuatro por ciento (4%) en el caso de los contribuyentes que utilicen vino importado para fraccionamiento y/o comercialización, respecto a los ingresos que generen los volúmenes importados en el período de que se trate.</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En tales supuestos, la Administración Tributaria Mendoza podrá adecuar las percepciones que realice a estos contribuyentes en el sistema SIRPEI (Sistema de Retenciones y Percepciones a las Importaciones) sobre las importaciones efectuadas.</w:t>
      </w:r>
    </w:p>
    <w:p w:rsidR="003F3311" w:rsidRPr="003F3311" w:rsidRDefault="003F3311" w:rsidP="003F3311">
      <w:pPr>
        <w:spacing w:before="80"/>
        <w:ind w:left="105" w:right="105" w:firstLine="105"/>
        <w:jc w:val="both"/>
        <w:rPr>
          <w:rFonts w:ascii="Verdana" w:hAnsi="Verdana"/>
          <w:color w:val="000000"/>
          <w:sz w:val="16"/>
          <w:szCs w:val="16"/>
          <w:lang w:val="es-AR" w:eastAsia="es-AR"/>
        </w:rPr>
      </w:pPr>
      <w:r w:rsidRPr="003F3311">
        <w:rPr>
          <w:rFonts w:ascii="Verdana" w:hAnsi="Verdana"/>
          <w:color w:val="000000"/>
          <w:sz w:val="16"/>
          <w:szCs w:val="16"/>
          <w:lang w:val="es-AR" w:eastAsia="es-AR"/>
        </w:rPr>
        <w:t>Esta disposición regirá a partir de la publicación de la presente ley.</w:t>
      </w:r>
    </w:p>
    <w:p w:rsidR="00B35018" w:rsidRDefault="00B35018" w:rsidP="00311795">
      <w:pPr>
        <w:autoSpaceDE w:val="0"/>
        <w:autoSpaceDN w:val="0"/>
        <w:adjustRightInd w:val="0"/>
        <w:jc w:val="both"/>
        <w:rPr>
          <w:rFonts w:ascii="Comic Sans MS" w:eastAsia="Calibri" w:hAnsi="Comic Sans MS" w:cs="Arial"/>
          <w:b/>
          <w:color w:val="292526"/>
          <w:sz w:val="18"/>
          <w:szCs w:val="18"/>
        </w:rPr>
      </w:pPr>
    </w:p>
    <w:p w:rsidR="003F3311" w:rsidRDefault="003F3311" w:rsidP="00311795">
      <w:pPr>
        <w:autoSpaceDE w:val="0"/>
        <w:autoSpaceDN w:val="0"/>
        <w:adjustRightInd w:val="0"/>
        <w:jc w:val="both"/>
        <w:rPr>
          <w:rFonts w:ascii="Comic Sans MS" w:eastAsia="Calibri" w:hAnsi="Comic Sans MS" w:cs="Arial"/>
          <w:b/>
          <w:color w:val="292526"/>
          <w:sz w:val="18"/>
          <w:szCs w:val="18"/>
        </w:rPr>
      </w:pPr>
    </w:p>
    <w:p w:rsidR="00114458" w:rsidRDefault="00041826" w:rsidP="00114458">
      <w:pPr>
        <w:autoSpaceDE w:val="0"/>
        <w:autoSpaceDN w:val="0"/>
        <w:adjustRightInd w:val="0"/>
        <w:jc w:val="both"/>
        <w:rPr>
          <w:rFonts w:ascii="Comic Sans MS" w:eastAsia="Calibri" w:hAnsi="Comic Sans MS" w:cs="Arial"/>
          <w:color w:val="292526"/>
          <w:sz w:val="18"/>
          <w:szCs w:val="18"/>
        </w:rPr>
      </w:pPr>
      <w:r>
        <w:rPr>
          <w:rFonts w:ascii="Comic Sans MS" w:eastAsia="Calibri" w:hAnsi="Comic Sans MS" w:cs="Arial"/>
          <w:color w:val="292526"/>
          <w:sz w:val="18"/>
          <w:szCs w:val="18"/>
        </w:rPr>
        <w:t>La ley 9</w:t>
      </w:r>
      <w:r w:rsidR="0086078B">
        <w:rPr>
          <w:rFonts w:ascii="Comic Sans MS" w:eastAsia="Calibri" w:hAnsi="Comic Sans MS" w:cs="Arial"/>
          <w:color w:val="292526"/>
          <w:sz w:val="18"/>
          <w:szCs w:val="18"/>
        </w:rPr>
        <w:t>188</w:t>
      </w:r>
      <w:r w:rsidR="0079657C" w:rsidRPr="00B35018">
        <w:rPr>
          <w:rFonts w:ascii="Comic Sans MS" w:eastAsia="Calibri" w:hAnsi="Comic Sans MS" w:cs="Arial"/>
          <w:color w:val="292526"/>
          <w:sz w:val="18"/>
          <w:szCs w:val="18"/>
        </w:rPr>
        <w:t xml:space="preserve"> no contiene en sus notas la acl</w:t>
      </w:r>
      <w:smartTag w:uri="urn:schemas-microsoft-com:office:smarttags" w:element="PersonName">
        <w:r w:rsidR="0079657C" w:rsidRPr="00B35018">
          <w:rPr>
            <w:rFonts w:ascii="Comic Sans MS" w:eastAsia="Calibri" w:hAnsi="Comic Sans MS" w:cs="Arial"/>
            <w:color w:val="292526"/>
            <w:sz w:val="18"/>
            <w:szCs w:val="18"/>
          </w:rPr>
          <w:t>ar</w:t>
        </w:r>
      </w:smartTag>
      <w:r w:rsidR="0079657C" w:rsidRPr="00B35018">
        <w:rPr>
          <w:rFonts w:ascii="Comic Sans MS" w:eastAsia="Calibri" w:hAnsi="Comic Sans MS" w:cs="Arial"/>
          <w:color w:val="292526"/>
          <w:sz w:val="18"/>
          <w:szCs w:val="18"/>
        </w:rPr>
        <w:t xml:space="preserve">ación sobre el inciso w) del </w:t>
      </w:r>
      <w:smartTag w:uri="urn:schemas-microsoft-com:office:smarttags" w:element="PersonName">
        <w:r w:rsidR="0079657C" w:rsidRPr="00B35018">
          <w:rPr>
            <w:rFonts w:ascii="Comic Sans MS" w:eastAsia="Calibri" w:hAnsi="Comic Sans MS" w:cs="Arial"/>
            <w:color w:val="292526"/>
            <w:sz w:val="18"/>
            <w:szCs w:val="18"/>
          </w:rPr>
          <w:t>ar</w:t>
        </w:r>
      </w:smartTag>
      <w:r w:rsidR="0079657C" w:rsidRPr="00B35018">
        <w:rPr>
          <w:rFonts w:ascii="Comic Sans MS" w:eastAsia="Calibri" w:hAnsi="Comic Sans MS" w:cs="Arial"/>
          <w:color w:val="292526"/>
          <w:sz w:val="18"/>
          <w:szCs w:val="18"/>
        </w:rPr>
        <w:t xml:space="preserve">tículo 185 del Código Fiscal que exime al </w:t>
      </w:r>
      <w:r w:rsidR="0079657C" w:rsidRPr="00114458">
        <w:rPr>
          <w:rFonts w:ascii="Comic Sans MS" w:eastAsia="Calibri" w:hAnsi="Comic Sans MS" w:cs="Arial"/>
          <w:b/>
          <w:color w:val="292526"/>
          <w:sz w:val="18"/>
          <w:szCs w:val="18"/>
        </w:rPr>
        <w:t>transporte internacional</w:t>
      </w:r>
      <w:r w:rsidR="0079657C" w:rsidRPr="00B35018">
        <w:rPr>
          <w:rFonts w:ascii="Comic Sans MS" w:eastAsia="Calibri" w:hAnsi="Comic Sans MS" w:cs="Arial"/>
          <w:color w:val="292526"/>
          <w:sz w:val="18"/>
          <w:szCs w:val="18"/>
        </w:rPr>
        <w:t xml:space="preserve"> </w:t>
      </w:r>
      <w:r w:rsidR="0079657C" w:rsidRPr="00114458">
        <w:rPr>
          <w:rFonts w:ascii="Comic Sans MS" w:eastAsia="Calibri" w:hAnsi="Comic Sans MS" w:cs="Arial"/>
          <w:b/>
          <w:color w:val="292526"/>
          <w:sz w:val="18"/>
          <w:szCs w:val="18"/>
        </w:rPr>
        <w:t>efectuado por empresas constituidas en el país</w:t>
      </w:r>
      <w:r w:rsidR="0079657C" w:rsidRPr="00B35018">
        <w:rPr>
          <w:rFonts w:ascii="Comic Sans MS" w:eastAsia="Calibri" w:hAnsi="Comic Sans MS" w:cs="Arial"/>
          <w:color w:val="292526"/>
          <w:sz w:val="18"/>
          <w:szCs w:val="18"/>
        </w:rPr>
        <w:t>.</w:t>
      </w:r>
      <w:r>
        <w:rPr>
          <w:rFonts w:ascii="Comic Sans MS" w:eastAsia="Calibri" w:hAnsi="Comic Sans MS" w:cs="Arial"/>
          <w:color w:val="292526"/>
          <w:sz w:val="18"/>
          <w:szCs w:val="18"/>
        </w:rPr>
        <w:t xml:space="preserve"> </w:t>
      </w:r>
    </w:p>
    <w:sectPr w:rsidR="00114458" w:rsidSect="00315F28">
      <w:pgSz w:w="11906" w:h="16838" w:code="9"/>
      <w:pgMar w:top="198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A72A9"/>
    <w:multiLevelType w:val="hybridMultilevel"/>
    <w:tmpl w:val="5BC882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02FC"/>
    <w:rsid w:val="000119E2"/>
    <w:rsid w:val="00033ED1"/>
    <w:rsid w:val="00041826"/>
    <w:rsid w:val="000527FC"/>
    <w:rsid w:val="00097FF7"/>
    <w:rsid w:val="000A7562"/>
    <w:rsid w:val="000E47C2"/>
    <w:rsid w:val="000F569B"/>
    <w:rsid w:val="001002FF"/>
    <w:rsid w:val="00114458"/>
    <w:rsid w:val="00152987"/>
    <w:rsid w:val="00161F2C"/>
    <w:rsid w:val="00164B90"/>
    <w:rsid w:val="001661DA"/>
    <w:rsid w:val="00185316"/>
    <w:rsid w:val="001A33E8"/>
    <w:rsid w:val="001A5E91"/>
    <w:rsid w:val="002104B7"/>
    <w:rsid w:val="00236784"/>
    <w:rsid w:val="00310EB7"/>
    <w:rsid w:val="00311795"/>
    <w:rsid w:val="00315F28"/>
    <w:rsid w:val="00320A5E"/>
    <w:rsid w:val="00325773"/>
    <w:rsid w:val="00352FD4"/>
    <w:rsid w:val="00363285"/>
    <w:rsid w:val="00390D48"/>
    <w:rsid w:val="0039657A"/>
    <w:rsid w:val="00397B83"/>
    <w:rsid w:val="003F3311"/>
    <w:rsid w:val="00400DB5"/>
    <w:rsid w:val="004032F8"/>
    <w:rsid w:val="00407CAA"/>
    <w:rsid w:val="00450EAE"/>
    <w:rsid w:val="00466385"/>
    <w:rsid w:val="0047358C"/>
    <w:rsid w:val="00474B09"/>
    <w:rsid w:val="00477EA0"/>
    <w:rsid w:val="00481D1D"/>
    <w:rsid w:val="004857C8"/>
    <w:rsid w:val="0049137D"/>
    <w:rsid w:val="004B5DAB"/>
    <w:rsid w:val="004B7847"/>
    <w:rsid w:val="004E53AD"/>
    <w:rsid w:val="00504824"/>
    <w:rsid w:val="00524777"/>
    <w:rsid w:val="00530E30"/>
    <w:rsid w:val="00537D7E"/>
    <w:rsid w:val="00557477"/>
    <w:rsid w:val="00574E7E"/>
    <w:rsid w:val="00583902"/>
    <w:rsid w:val="00592D25"/>
    <w:rsid w:val="005A7E37"/>
    <w:rsid w:val="005B45DD"/>
    <w:rsid w:val="005D5DFB"/>
    <w:rsid w:val="005F0405"/>
    <w:rsid w:val="00627036"/>
    <w:rsid w:val="006270AF"/>
    <w:rsid w:val="006341F0"/>
    <w:rsid w:val="00640F12"/>
    <w:rsid w:val="00657CD3"/>
    <w:rsid w:val="00667B55"/>
    <w:rsid w:val="00684709"/>
    <w:rsid w:val="0069191D"/>
    <w:rsid w:val="006943E9"/>
    <w:rsid w:val="006F3959"/>
    <w:rsid w:val="006F6709"/>
    <w:rsid w:val="00714D57"/>
    <w:rsid w:val="00733228"/>
    <w:rsid w:val="00774360"/>
    <w:rsid w:val="007764AD"/>
    <w:rsid w:val="00794253"/>
    <w:rsid w:val="0079657C"/>
    <w:rsid w:val="007C08DA"/>
    <w:rsid w:val="007D0276"/>
    <w:rsid w:val="007D2F57"/>
    <w:rsid w:val="007F6C8D"/>
    <w:rsid w:val="008048EB"/>
    <w:rsid w:val="00814037"/>
    <w:rsid w:val="008243A7"/>
    <w:rsid w:val="0086078B"/>
    <w:rsid w:val="0088634A"/>
    <w:rsid w:val="008D45B5"/>
    <w:rsid w:val="008D4632"/>
    <w:rsid w:val="008F0E1D"/>
    <w:rsid w:val="009227DE"/>
    <w:rsid w:val="00941066"/>
    <w:rsid w:val="00944987"/>
    <w:rsid w:val="00987AA5"/>
    <w:rsid w:val="0099448D"/>
    <w:rsid w:val="009F2C3E"/>
    <w:rsid w:val="009F6A67"/>
    <w:rsid w:val="009F7D09"/>
    <w:rsid w:val="00A033B5"/>
    <w:rsid w:val="00A231F2"/>
    <w:rsid w:val="00A30D65"/>
    <w:rsid w:val="00A4262B"/>
    <w:rsid w:val="00A4690E"/>
    <w:rsid w:val="00A524C6"/>
    <w:rsid w:val="00A67F33"/>
    <w:rsid w:val="00A855A8"/>
    <w:rsid w:val="00A86891"/>
    <w:rsid w:val="00A91674"/>
    <w:rsid w:val="00A92349"/>
    <w:rsid w:val="00AE241A"/>
    <w:rsid w:val="00AE2A54"/>
    <w:rsid w:val="00AF740E"/>
    <w:rsid w:val="00B049B1"/>
    <w:rsid w:val="00B14016"/>
    <w:rsid w:val="00B20C50"/>
    <w:rsid w:val="00B21B25"/>
    <w:rsid w:val="00B35018"/>
    <w:rsid w:val="00B37747"/>
    <w:rsid w:val="00B858D2"/>
    <w:rsid w:val="00BB07D3"/>
    <w:rsid w:val="00C33E91"/>
    <w:rsid w:val="00C34518"/>
    <w:rsid w:val="00C704F6"/>
    <w:rsid w:val="00C71797"/>
    <w:rsid w:val="00CC5960"/>
    <w:rsid w:val="00CC62EA"/>
    <w:rsid w:val="00CD22CE"/>
    <w:rsid w:val="00CD4A77"/>
    <w:rsid w:val="00CF022C"/>
    <w:rsid w:val="00D0092F"/>
    <w:rsid w:val="00D45C7A"/>
    <w:rsid w:val="00D8527F"/>
    <w:rsid w:val="00D86E63"/>
    <w:rsid w:val="00D90C90"/>
    <w:rsid w:val="00DA69CA"/>
    <w:rsid w:val="00DE1C09"/>
    <w:rsid w:val="00DE548E"/>
    <w:rsid w:val="00E03DBC"/>
    <w:rsid w:val="00E12FAD"/>
    <w:rsid w:val="00E32471"/>
    <w:rsid w:val="00E37ED4"/>
    <w:rsid w:val="00E50847"/>
    <w:rsid w:val="00EA390B"/>
    <w:rsid w:val="00EA4D5F"/>
    <w:rsid w:val="00EB6F4C"/>
    <w:rsid w:val="00EB7AAC"/>
    <w:rsid w:val="00EC0B15"/>
    <w:rsid w:val="00F50E5E"/>
    <w:rsid w:val="00F51E2F"/>
    <w:rsid w:val="00F56A2E"/>
    <w:rsid w:val="00F7009D"/>
    <w:rsid w:val="00F70EF1"/>
    <w:rsid w:val="00F9603E"/>
    <w:rsid w:val="00FB76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7EDC833-6760-4FFD-A97B-395D387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33B5"/>
    <w:rPr>
      <w:rFonts w:ascii="Tahoma" w:hAnsi="Tahoma"/>
      <w:sz w:val="16"/>
      <w:szCs w:val="16"/>
    </w:rPr>
  </w:style>
  <w:style w:type="character" w:customStyle="1" w:styleId="TextodegloboCar">
    <w:name w:val="Texto de globo Car"/>
    <w:link w:val="Textodeglobo"/>
    <w:uiPriority w:val="99"/>
    <w:semiHidden/>
    <w:rsid w:val="00A033B5"/>
    <w:rPr>
      <w:rFonts w:ascii="Tahoma" w:eastAsia="Times New Roman" w:hAnsi="Tahoma" w:cs="Tahoma"/>
      <w:sz w:val="16"/>
      <w:szCs w:val="16"/>
      <w:lang w:val="es-ES" w:eastAsia="es-ES"/>
    </w:rPr>
  </w:style>
  <w:style w:type="paragraph" w:customStyle="1" w:styleId="campoocultonovedades">
    <w:name w:val="campoocultonovedades"/>
    <w:basedOn w:val="Normal"/>
    <w:rsid w:val="001661DA"/>
    <w:pPr>
      <w:spacing w:line="0" w:lineRule="auto"/>
    </w:pPr>
    <w:rPr>
      <w:color w:val="FFFFFF"/>
      <w:lang w:val="es-AR" w:eastAsia="es-AR"/>
    </w:rPr>
  </w:style>
  <w:style w:type="paragraph" w:customStyle="1" w:styleId="textonovedades">
    <w:name w:val="textonovedades"/>
    <w:basedOn w:val="Normal"/>
    <w:rsid w:val="001661DA"/>
    <w:pPr>
      <w:spacing w:before="120"/>
      <w:jc w:val="both"/>
    </w:pPr>
    <w:rPr>
      <w:rFonts w:ascii="Verdana" w:hAnsi="Verdana"/>
      <w:sz w:val="16"/>
      <w:szCs w:val="16"/>
      <w:lang w:val="es-AR" w:eastAsia="es-AR"/>
    </w:rPr>
  </w:style>
  <w:style w:type="character" w:styleId="Hipervnculo">
    <w:name w:val="Hyperlink"/>
    <w:uiPriority w:val="99"/>
    <w:semiHidden/>
    <w:unhideWhenUsed/>
    <w:rsid w:val="001661DA"/>
    <w:rPr>
      <w:color w:val="0000FF"/>
      <w:u w:val="single"/>
    </w:rPr>
  </w:style>
  <w:style w:type="character" w:customStyle="1" w:styleId="destination">
    <w:name w:val="destination"/>
    <w:basedOn w:val="Fuentedeprrafopredeter"/>
    <w:rsid w:val="001661DA"/>
  </w:style>
  <w:style w:type="paragraph" w:styleId="NormalWeb">
    <w:name w:val="Normal (Web)"/>
    <w:basedOn w:val="Normal"/>
    <w:uiPriority w:val="99"/>
    <w:semiHidden/>
    <w:unhideWhenUsed/>
    <w:rsid w:val="0079657C"/>
  </w:style>
  <w:style w:type="paragraph" w:customStyle="1" w:styleId="sangrianovedades">
    <w:name w:val="sangrianovedades"/>
    <w:basedOn w:val="Normal"/>
    <w:rsid w:val="00DA69CA"/>
    <w:pPr>
      <w:spacing w:before="80"/>
      <w:ind w:firstLine="360"/>
      <w:jc w:val="both"/>
    </w:pPr>
    <w:rPr>
      <w:rFonts w:ascii="Verdana" w:hAnsi="Verdana"/>
      <w:sz w:val="16"/>
      <w:szCs w:val="16"/>
      <w:lang w:val="es-AR" w:eastAsia="es-AR"/>
    </w:rPr>
  </w:style>
  <w:style w:type="character" w:customStyle="1" w:styleId="negritanovedades">
    <w:name w:val="negritanovedades"/>
    <w:rsid w:val="00DA69CA"/>
    <w:rPr>
      <w:b/>
      <w:bCs/>
    </w:rPr>
  </w:style>
  <w:style w:type="character" w:customStyle="1" w:styleId="apple-converted-space">
    <w:name w:val="apple-converted-space"/>
    <w:rsid w:val="00524777"/>
  </w:style>
  <w:style w:type="paragraph" w:customStyle="1" w:styleId="errepar1erfrancesnovedades">
    <w:name w:val="errepar_1erfrancesnovedades"/>
    <w:basedOn w:val="Normal"/>
    <w:rsid w:val="00524777"/>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772">
      <w:bodyDiv w:val="1"/>
      <w:marLeft w:val="0"/>
      <w:marRight w:val="0"/>
      <w:marTop w:val="0"/>
      <w:marBottom w:val="0"/>
      <w:divBdr>
        <w:top w:val="none" w:sz="0" w:space="0" w:color="auto"/>
        <w:left w:val="none" w:sz="0" w:space="0" w:color="auto"/>
        <w:bottom w:val="none" w:sz="0" w:space="0" w:color="auto"/>
        <w:right w:val="none" w:sz="0" w:space="0" w:color="auto"/>
      </w:divBdr>
    </w:div>
    <w:div w:id="132452651">
      <w:bodyDiv w:val="1"/>
      <w:marLeft w:val="0"/>
      <w:marRight w:val="0"/>
      <w:marTop w:val="0"/>
      <w:marBottom w:val="0"/>
      <w:divBdr>
        <w:top w:val="none" w:sz="0" w:space="0" w:color="auto"/>
        <w:left w:val="none" w:sz="0" w:space="0" w:color="auto"/>
        <w:bottom w:val="none" w:sz="0" w:space="0" w:color="auto"/>
        <w:right w:val="none" w:sz="0" w:space="0" w:color="auto"/>
      </w:divBdr>
    </w:div>
    <w:div w:id="202792554">
      <w:bodyDiv w:val="1"/>
      <w:marLeft w:val="0"/>
      <w:marRight w:val="0"/>
      <w:marTop w:val="0"/>
      <w:marBottom w:val="0"/>
      <w:divBdr>
        <w:top w:val="none" w:sz="0" w:space="0" w:color="auto"/>
        <w:left w:val="none" w:sz="0" w:space="0" w:color="auto"/>
        <w:bottom w:val="none" w:sz="0" w:space="0" w:color="auto"/>
        <w:right w:val="none" w:sz="0" w:space="0" w:color="auto"/>
      </w:divBdr>
    </w:div>
    <w:div w:id="386342215">
      <w:bodyDiv w:val="1"/>
      <w:marLeft w:val="0"/>
      <w:marRight w:val="0"/>
      <w:marTop w:val="0"/>
      <w:marBottom w:val="0"/>
      <w:divBdr>
        <w:top w:val="none" w:sz="0" w:space="0" w:color="auto"/>
        <w:left w:val="none" w:sz="0" w:space="0" w:color="auto"/>
        <w:bottom w:val="none" w:sz="0" w:space="0" w:color="auto"/>
        <w:right w:val="none" w:sz="0" w:space="0" w:color="auto"/>
      </w:divBdr>
    </w:div>
    <w:div w:id="391736010">
      <w:bodyDiv w:val="1"/>
      <w:marLeft w:val="0"/>
      <w:marRight w:val="0"/>
      <w:marTop w:val="0"/>
      <w:marBottom w:val="0"/>
      <w:divBdr>
        <w:top w:val="none" w:sz="0" w:space="0" w:color="auto"/>
        <w:left w:val="none" w:sz="0" w:space="0" w:color="auto"/>
        <w:bottom w:val="none" w:sz="0" w:space="0" w:color="auto"/>
        <w:right w:val="none" w:sz="0" w:space="0" w:color="auto"/>
      </w:divBdr>
    </w:div>
    <w:div w:id="436678557">
      <w:bodyDiv w:val="1"/>
      <w:marLeft w:val="0"/>
      <w:marRight w:val="0"/>
      <w:marTop w:val="0"/>
      <w:marBottom w:val="0"/>
      <w:divBdr>
        <w:top w:val="none" w:sz="0" w:space="0" w:color="auto"/>
        <w:left w:val="none" w:sz="0" w:space="0" w:color="auto"/>
        <w:bottom w:val="none" w:sz="0" w:space="0" w:color="auto"/>
        <w:right w:val="none" w:sz="0" w:space="0" w:color="auto"/>
      </w:divBdr>
    </w:div>
    <w:div w:id="536282894">
      <w:bodyDiv w:val="1"/>
      <w:marLeft w:val="0"/>
      <w:marRight w:val="0"/>
      <w:marTop w:val="0"/>
      <w:marBottom w:val="0"/>
      <w:divBdr>
        <w:top w:val="none" w:sz="0" w:space="0" w:color="auto"/>
        <w:left w:val="none" w:sz="0" w:space="0" w:color="auto"/>
        <w:bottom w:val="none" w:sz="0" w:space="0" w:color="auto"/>
        <w:right w:val="none" w:sz="0" w:space="0" w:color="auto"/>
      </w:divBdr>
    </w:div>
    <w:div w:id="632710173">
      <w:bodyDiv w:val="1"/>
      <w:marLeft w:val="0"/>
      <w:marRight w:val="0"/>
      <w:marTop w:val="0"/>
      <w:marBottom w:val="0"/>
      <w:divBdr>
        <w:top w:val="none" w:sz="0" w:space="0" w:color="auto"/>
        <w:left w:val="none" w:sz="0" w:space="0" w:color="auto"/>
        <w:bottom w:val="none" w:sz="0" w:space="0" w:color="auto"/>
        <w:right w:val="none" w:sz="0" w:space="0" w:color="auto"/>
      </w:divBdr>
    </w:div>
    <w:div w:id="1011563984">
      <w:bodyDiv w:val="1"/>
      <w:marLeft w:val="0"/>
      <w:marRight w:val="0"/>
      <w:marTop w:val="0"/>
      <w:marBottom w:val="0"/>
      <w:divBdr>
        <w:top w:val="none" w:sz="0" w:space="0" w:color="auto"/>
        <w:left w:val="none" w:sz="0" w:space="0" w:color="auto"/>
        <w:bottom w:val="none" w:sz="0" w:space="0" w:color="auto"/>
        <w:right w:val="none" w:sz="0" w:space="0" w:color="auto"/>
      </w:divBdr>
    </w:div>
    <w:div w:id="1114642279">
      <w:bodyDiv w:val="1"/>
      <w:marLeft w:val="0"/>
      <w:marRight w:val="0"/>
      <w:marTop w:val="0"/>
      <w:marBottom w:val="0"/>
      <w:divBdr>
        <w:top w:val="none" w:sz="0" w:space="0" w:color="auto"/>
        <w:left w:val="none" w:sz="0" w:space="0" w:color="auto"/>
        <w:bottom w:val="none" w:sz="0" w:space="0" w:color="auto"/>
        <w:right w:val="none" w:sz="0" w:space="0" w:color="auto"/>
      </w:divBdr>
    </w:div>
    <w:div w:id="1197353812">
      <w:bodyDiv w:val="1"/>
      <w:marLeft w:val="0"/>
      <w:marRight w:val="0"/>
      <w:marTop w:val="0"/>
      <w:marBottom w:val="0"/>
      <w:divBdr>
        <w:top w:val="none" w:sz="0" w:space="0" w:color="auto"/>
        <w:left w:val="none" w:sz="0" w:space="0" w:color="auto"/>
        <w:bottom w:val="none" w:sz="0" w:space="0" w:color="auto"/>
        <w:right w:val="none" w:sz="0" w:space="0" w:color="auto"/>
      </w:divBdr>
      <w:divsChild>
        <w:div w:id="1352996103">
          <w:marLeft w:val="0"/>
          <w:marRight w:val="0"/>
          <w:marTop w:val="0"/>
          <w:marBottom w:val="0"/>
          <w:divBdr>
            <w:top w:val="none" w:sz="0" w:space="0" w:color="auto"/>
            <w:left w:val="none" w:sz="0" w:space="0" w:color="auto"/>
            <w:bottom w:val="none" w:sz="0" w:space="0" w:color="auto"/>
            <w:right w:val="none" w:sz="0" w:space="0" w:color="auto"/>
          </w:divBdr>
          <w:divsChild>
            <w:div w:id="1757824087">
              <w:marLeft w:val="0"/>
              <w:marRight w:val="0"/>
              <w:marTop w:val="0"/>
              <w:marBottom w:val="0"/>
              <w:divBdr>
                <w:top w:val="none" w:sz="0" w:space="0" w:color="auto"/>
                <w:left w:val="none" w:sz="0" w:space="0" w:color="auto"/>
                <w:bottom w:val="none" w:sz="0" w:space="0" w:color="auto"/>
                <w:right w:val="none" w:sz="0" w:space="0" w:color="auto"/>
              </w:divBdr>
              <w:divsChild>
                <w:div w:id="1949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9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4253</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Ley Impositiva 2012 – Provincia de Mendoza</vt:lpstr>
    </vt:vector>
  </TitlesOfParts>
  <Company>Sajo Computacion</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Impositiva 2012 – Provincia de Mendoza</dc:title>
  <dc:subject/>
  <dc:creator>Fadeeac</dc:creator>
  <cp:keywords/>
  <cp:lastModifiedBy>FADEEAC</cp:lastModifiedBy>
  <cp:revision>2</cp:revision>
  <cp:lastPrinted>2019-01-11T13:44:00Z</cp:lastPrinted>
  <dcterms:created xsi:type="dcterms:W3CDTF">2019-02-04T18:27:00Z</dcterms:created>
  <dcterms:modified xsi:type="dcterms:W3CDTF">2019-02-04T18:27:00Z</dcterms:modified>
</cp:coreProperties>
</file>