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F" w:rsidRPr="002323C3" w:rsidRDefault="00F51E2F" w:rsidP="00F51E2F">
      <w:pPr>
        <w:jc w:val="center"/>
        <w:rPr>
          <w:b/>
          <w:i/>
          <w:sz w:val="40"/>
          <w:szCs w:val="40"/>
          <w:u w:val="single"/>
        </w:rPr>
      </w:pPr>
      <w:bookmarkStart w:id="0" w:name="_GoBack"/>
      <w:bookmarkEnd w:id="0"/>
      <w:proofErr w:type="gramStart"/>
      <w:r w:rsidRPr="002323C3">
        <w:rPr>
          <w:b/>
          <w:i/>
          <w:sz w:val="40"/>
          <w:szCs w:val="40"/>
          <w:u w:val="single"/>
        </w:rPr>
        <w:t>PROVINCIA</w:t>
      </w:r>
      <w:r w:rsidR="00E8352A">
        <w:rPr>
          <w:b/>
          <w:i/>
          <w:sz w:val="40"/>
          <w:szCs w:val="40"/>
          <w:u w:val="single"/>
        </w:rPr>
        <w:t xml:space="preserve"> </w:t>
      </w:r>
      <w:r w:rsidRPr="002323C3">
        <w:rPr>
          <w:b/>
          <w:i/>
          <w:sz w:val="40"/>
          <w:szCs w:val="40"/>
          <w:u w:val="single"/>
        </w:rPr>
        <w:t xml:space="preserve"> DE</w:t>
      </w:r>
      <w:proofErr w:type="gramEnd"/>
      <w:r w:rsidR="00E8352A">
        <w:rPr>
          <w:b/>
          <w:i/>
          <w:sz w:val="40"/>
          <w:szCs w:val="40"/>
          <w:u w:val="single"/>
        </w:rPr>
        <w:t xml:space="preserve"> </w:t>
      </w:r>
      <w:r w:rsidRPr="002323C3">
        <w:rPr>
          <w:b/>
          <w:i/>
          <w:sz w:val="40"/>
          <w:szCs w:val="40"/>
          <w:u w:val="single"/>
        </w:rPr>
        <w:t xml:space="preserve"> </w:t>
      </w:r>
      <w:r w:rsidR="00E8352A">
        <w:rPr>
          <w:b/>
          <w:i/>
          <w:sz w:val="40"/>
          <w:szCs w:val="40"/>
          <w:u w:val="single"/>
        </w:rPr>
        <w:t>RIO  NEGRO</w:t>
      </w:r>
    </w:p>
    <w:p w:rsidR="00F51E2F" w:rsidRDefault="00F51E2F" w:rsidP="00F51E2F">
      <w:pPr>
        <w:jc w:val="center"/>
      </w:pPr>
    </w:p>
    <w:p w:rsidR="00F51E2F" w:rsidRDefault="00F51E2F" w:rsidP="00F51E2F"/>
    <w:p w:rsidR="003264E9" w:rsidRDefault="00F51E2F" w:rsidP="00F51E2F">
      <w:pPr>
        <w:rPr>
          <w:b/>
          <w:i/>
          <w:u w:val="single"/>
        </w:rPr>
      </w:pPr>
      <w:r w:rsidRPr="00700351">
        <w:rPr>
          <w:i/>
          <w:u w:val="single"/>
        </w:rPr>
        <w:t>CODIFICACION – ALICUOTAS</w:t>
      </w:r>
      <w:r w:rsidR="00537D7E">
        <w:rPr>
          <w:i/>
          <w:u w:val="single"/>
        </w:rPr>
        <w:t xml:space="preserve">  </w:t>
      </w:r>
      <w:r w:rsidR="00921E2B">
        <w:rPr>
          <w:b/>
          <w:i/>
          <w:u w:val="single"/>
        </w:rPr>
        <w:t>201</w:t>
      </w:r>
      <w:r w:rsidR="00913EB4">
        <w:rPr>
          <w:b/>
          <w:i/>
          <w:u w:val="single"/>
        </w:rPr>
        <w:t>9</w:t>
      </w:r>
    </w:p>
    <w:p w:rsidR="0042489C" w:rsidRDefault="0042489C" w:rsidP="00F51E2F">
      <w:pPr>
        <w:rPr>
          <w:b/>
          <w:i/>
          <w:u w:val="single"/>
        </w:rPr>
      </w:pPr>
    </w:p>
    <w:p w:rsidR="0042489C" w:rsidRDefault="0042489C" w:rsidP="00F51E2F">
      <w:pPr>
        <w:rPr>
          <w:b/>
          <w:i/>
          <w:u w:val="single"/>
        </w:rPr>
      </w:pPr>
    </w:p>
    <w:p w:rsidR="00F51E2F" w:rsidRDefault="00F51E2F" w:rsidP="00F51E2F"/>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394"/>
        <w:gridCol w:w="1843"/>
        <w:gridCol w:w="2835"/>
      </w:tblGrid>
      <w:tr w:rsidR="00797B4C" w:rsidTr="000017FF">
        <w:trPr>
          <w:trHeight w:val="352"/>
        </w:trPr>
        <w:tc>
          <w:tcPr>
            <w:tcW w:w="2235" w:type="dxa"/>
            <w:gridSpan w:val="2"/>
          </w:tcPr>
          <w:p w:rsidR="00797B4C" w:rsidRDefault="00797B4C" w:rsidP="000017FF">
            <w:pPr>
              <w:jc w:val="center"/>
              <w:rPr>
                <w:b/>
              </w:rPr>
            </w:pPr>
          </w:p>
          <w:p w:rsidR="00797B4C" w:rsidRPr="007939E7" w:rsidRDefault="00797B4C" w:rsidP="000017FF">
            <w:pPr>
              <w:jc w:val="center"/>
              <w:rPr>
                <w:b/>
              </w:rPr>
            </w:pPr>
            <w:r w:rsidRPr="007939E7">
              <w:rPr>
                <w:b/>
              </w:rPr>
              <w:t>CODIGO</w:t>
            </w:r>
          </w:p>
        </w:tc>
        <w:tc>
          <w:tcPr>
            <w:tcW w:w="4394" w:type="dxa"/>
            <w:vMerge w:val="restart"/>
          </w:tcPr>
          <w:p w:rsidR="00797B4C" w:rsidRDefault="00797B4C" w:rsidP="000017FF">
            <w:pPr>
              <w:jc w:val="center"/>
              <w:rPr>
                <w:b/>
              </w:rPr>
            </w:pPr>
          </w:p>
          <w:p w:rsidR="00797B4C" w:rsidRPr="007939E7" w:rsidRDefault="00797B4C" w:rsidP="000017FF">
            <w:pPr>
              <w:jc w:val="center"/>
              <w:rPr>
                <w:b/>
              </w:rPr>
            </w:pPr>
            <w:r w:rsidRPr="007939E7">
              <w:rPr>
                <w:b/>
              </w:rPr>
              <w:t>DESCRIPCION</w:t>
            </w:r>
          </w:p>
        </w:tc>
        <w:tc>
          <w:tcPr>
            <w:tcW w:w="1843" w:type="dxa"/>
            <w:vMerge w:val="restart"/>
          </w:tcPr>
          <w:p w:rsidR="00797B4C" w:rsidRDefault="00797B4C" w:rsidP="000017FF">
            <w:pPr>
              <w:jc w:val="center"/>
              <w:rPr>
                <w:b/>
              </w:rPr>
            </w:pPr>
          </w:p>
          <w:p w:rsidR="00797B4C" w:rsidRDefault="00797B4C" w:rsidP="000017FF">
            <w:pPr>
              <w:jc w:val="center"/>
              <w:rPr>
                <w:b/>
              </w:rPr>
            </w:pPr>
            <w:r w:rsidRPr="007939E7">
              <w:rPr>
                <w:b/>
              </w:rPr>
              <w:t>ALICUOTA</w:t>
            </w:r>
          </w:p>
          <w:p w:rsidR="007F720A" w:rsidRPr="007939E7" w:rsidRDefault="007F720A" w:rsidP="000017FF">
            <w:pPr>
              <w:jc w:val="center"/>
              <w:rPr>
                <w:b/>
              </w:rPr>
            </w:pPr>
            <w:r>
              <w:rPr>
                <w:b/>
              </w:rPr>
              <w:t>(*)</w:t>
            </w:r>
          </w:p>
        </w:tc>
        <w:tc>
          <w:tcPr>
            <w:tcW w:w="2835" w:type="dxa"/>
            <w:vMerge w:val="restart"/>
          </w:tcPr>
          <w:p w:rsidR="00797B4C" w:rsidRDefault="00797B4C" w:rsidP="000017FF">
            <w:pPr>
              <w:jc w:val="center"/>
              <w:rPr>
                <w:b/>
              </w:rPr>
            </w:pPr>
          </w:p>
          <w:p w:rsidR="00797B4C" w:rsidRPr="007939E7" w:rsidRDefault="00797B4C" w:rsidP="000017FF">
            <w:pPr>
              <w:jc w:val="center"/>
              <w:rPr>
                <w:b/>
              </w:rPr>
            </w:pPr>
            <w:r w:rsidRPr="007939E7">
              <w:rPr>
                <w:b/>
              </w:rPr>
              <w:t>OBSERVACIONES</w:t>
            </w:r>
          </w:p>
        </w:tc>
      </w:tr>
      <w:tr w:rsidR="00797B4C" w:rsidTr="000017FF">
        <w:trPr>
          <w:trHeight w:val="136"/>
        </w:trPr>
        <w:tc>
          <w:tcPr>
            <w:tcW w:w="1101" w:type="dxa"/>
          </w:tcPr>
          <w:p w:rsidR="00797B4C" w:rsidRDefault="00797B4C" w:rsidP="000017FF">
            <w:pPr>
              <w:jc w:val="center"/>
              <w:rPr>
                <w:b/>
              </w:rPr>
            </w:pPr>
            <w:r>
              <w:rPr>
                <w:b/>
              </w:rPr>
              <w:t>C.M.</w:t>
            </w:r>
          </w:p>
        </w:tc>
        <w:tc>
          <w:tcPr>
            <w:tcW w:w="1134" w:type="dxa"/>
          </w:tcPr>
          <w:p w:rsidR="00797B4C" w:rsidRDefault="00797B4C" w:rsidP="000017FF">
            <w:pPr>
              <w:jc w:val="center"/>
              <w:rPr>
                <w:b/>
              </w:rPr>
            </w:pPr>
            <w:r>
              <w:rPr>
                <w:b/>
              </w:rPr>
              <w:t>PCIA.</w:t>
            </w:r>
          </w:p>
        </w:tc>
        <w:tc>
          <w:tcPr>
            <w:tcW w:w="4394" w:type="dxa"/>
            <w:vMerge/>
          </w:tcPr>
          <w:p w:rsidR="00797B4C" w:rsidRDefault="00797B4C" w:rsidP="000017FF">
            <w:pPr>
              <w:jc w:val="center"/>
              <w:rPr>
                <w:b/>
              </w:rPr>
            </w:pPr>
          </w:p>
        </w:tc>
        <w:tc>
          <w:tcPr>
            <w:tcW w:w="1843" w:type="dxa"/>
            <w:vMerge/>
          </w:tcPr>
          <w:p w:rsidR="00797B4C" w:rsidRDefault="00797B4C" w:rsidP="000017FF">
            <w:pPr>
              <w:jc w:val="center"/>
              <w:rPr>
                <w:b/>
              </w:rPr>
            </w:pPr>
          </w:p>
        </w:tc>
        <w:tc>
          <w:tcPr>
            <w:tcW w:w="2835" w:type="dxa"/>
            <w:vMerge/>
          </w:tcPr>
          <w:p w:rsidR="00797B4C" w:rsidRDefault="00797B4C" w:rsidP="000017FF">
            <w:pPr>
              <w:jc w:val="center"/>
              <w:rPr>
                <w:b/>
              </w:rPr>
            </w:pPr>
          </w:p>
        </w:tc>
      </w:tr>
      <w:tr w:rsidR="00492B97" w:rsidRPr="00232E6D" w:rsidTr="000017FF">
        <w:trPr>
          <w:trHeight w:val="468"/>
        </w:trPr>
        <w:tc>
          <w:tcPr>
            <w:tcW w:w="1101" w:type="dxa"/>
          </w:tcPr>
          <w:p w:rsidR="00492B97" w:rsidRDefault="00492B97" w:rsidP="000017FF">
            <w:pPr>
              <w:jc w:val="center"/>
              <w:rPr>
                <w:rFonts w:ascii="Century Gothic" w:hAnsi="Century Gothic"/>
                <w:b/>
                <w:sz w:val="18"/>
                <w:szCs w:val="18"/>
              </w:rPr>
            </w:pPr>
            <w:r>
              <w:rPr>
                <w:rFonts w:ascii="Century Gothic" w:hAnsi="Century Gothic"/>
                <w:b/>
                <w:sz w:val="18"/>
                <w:szCs w:val="18"/>
              </w:rPr>
              <w:t>492210</w:t>
            </w:r>
          </w:p>
          <w:p w:rsidR="00492B97" w:rsidRPr="008C15CA" w:rsidRDefault="00492B97" w:rsidP="000017FF">
            <w:pPr>
              <w:jc w:val="center"/>
              <w:rPr>
                <w:rFonts w:ascii="Century Gothic" w:hAnsi="Century Gothic"/>
                <w:b/>
                <w:sz w:val="18"/>
                <w:szCs w:val="18"/>
              </w:rPr>
            </w:pPr>
          </w:p>
        </w:tc>
        <w:tc>
          <w:tcPr>
            <w:tcW w:w="1134" w:type="dxa"/>
          </w:tcPr>
          <w:p w:rsidR="00492B97" w:rsidRDefault="00492B97" w:rsidP="000017FF">
            <w:pPr>
              <w:jc w:val="center"/>
              <w:rPr>
                <w:rFonts w:ascii="Century Gothic" w:hAnsi="Century Gothic"/>
                <w:b/>
                <w:sz w:val="18"/>
                <w:szCs w:val="18"/>
              </w:rPr>
            </w:pPr>
            <w:r>
              <w:rPr>
                <w:rFonts w:ascii="Century Gothic" w:hAnsi="Century Gothic"/>
                <w:b/>
                <w:sz w:val="18"/>
                <w:szCs w:val="18"/>
              </w:rPr>
              <w:t>492210</w:t>
            </w:r>
          </w:p>
          <w:p w:rsidR="00492B97" w:rsidRPr="008C15CA" w:rsidRDefault="00492B97" w:rsidP="000017FF">
            <w:pPr>
              <w:jc w:val="center"/>
              <w:rPr>
                <w:rFonts w:ascii="Century Gothic" w:hAnsi="Century Gothic"/>
                <w:b/>
                <w:sz w:val="18"/>
                <w:szCs w:val="18"/>
              </w:rPr>
            </w:pPr>
          </w:p>
        </w:tc>
        <w:tc>
          <w:tcPr>
            <w:tcW w:w="4394" w:type="dxa"/>
          </w:tcPr>
          <w:p w:rsidR="00492B97" w:rsidRPr="008C15CA" w:rsidRDefault="00492B97" w:rsidP="000017FF">
            <w:pPr>
              <w:rPr>
                <w:rFonts w:ascii="Century Gothic" w:hAnsi="Century Gothic"/>
                <w:sz w:val="18"/>
                <w:szCs w:val="18"/>
              </w:rPr>
            </w:pPr>
            <w:r w:rsidRPr="008C15CA">
              <w:rPr>
                <w:rFonts w:ascii="Century Gothic" w:eastAsia="Calibri" w:hAnsi="Century Gothic"/>
                <w:sz w:val="18"/>
                <w:szCs w:val="18"/>
              </w:rPr>
              <w:t xml:space="preserve">Servicios de mudanza </w:t>
            </w:r>
          </w:p>
        </w:tc>
        <w:tc>
          <w:tcPr>
            <w:tcW w:w="1843" w:type="dxa"/>
            <w:vMerge w:val="restart"/>
          </w:tcPr>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Pr="00352FD4" w:rsidRDefault="003439FB" w:rsidP="000017FF">
            <w:pPr>
              <w:jc w:val="center"/>
              <w:rPr>
                <w:b/>
                <w:sz w:val="20"/>
                <w:szCs w:val="20"/>
              </w:rPr>
            </w:pPr>
            <w:r>
              <w:rPr>
                <w:b/>
                <w:sz w:val="20"/>
                <w:szCs w:val="20"/>
              </w:rPr>
              <w:t>2</w:t>
            </w:r>
            <w:r w:rsidR="00492B97">
              <w:rPr>
                <w:b/>
                <w:sz w:val="20"/>
                <w:szCs w:val="20"/>
              </w:rPr>
              <w:t>%</w:t>
            </w:r>
          </w:p>
        </w:tc>
        <w:tc>
          <w:tcPr>
            <w:tcW w:w="2835" w:type="dxa"/>
            <w:vMerge w:val="restart"/>
          </w:tcPr>
          <w:p w:rsidR="00492B97" w:rsidRDefault="00492B97"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Default="007F720A" w:rsidP="000017FF">
            <w:pPr>
              <w:rPr>
                <w:sz w:val="20"/>
                <w:szCs w:val="20"/>
                <w:lang w:val="en-US"/>
              </w:rPr>
            </w:pPr>
          </w:p>
          <w:p w:rsidR="007F720A" w:rsidRPr="00232E6D" w:rsidRDefault="007F720A" w:rsidP="0042489C">
            <w:pPr>
              <w:jc w:val="center"/>
              <w:rPr>
                <w:sz w:val="20"/>
                <w:szCs w:val="20"/>
                <w:lang w:val="en-US"/>
              </w:rPr>
            </w:pPr>
            <w:r>
              <w:rPr>
                <w:sz w:val="20"/>
                <w:szCs w:val="20"/>
                <w:lang w:val="en-US"/>
              </w:rPr>
              <w:t xml:space="preserve">Ley </w:t>
            </w:r>
            <w:proofErr w:type="gramStart"/>
            <w:r w:rsidR="00913EB4">
              <w:rPr>
                <w:sz w:val="20"/>
                <w:szCs w:val="20"/>
                <w:lang w:val="en-US"/>
              </w:rPr>
              <w:t>5335</w:t>
            </w:r>
            <w:r>
              <w:rPr>
                <w:sz w:val="20"/>
                <w:szCs w:val="20"/>
                <w:lang w:val="en-US"/>
              </w:rPr>
              <w:t xml:space="preserve">  art.</w:t>
            </w:r>
            <w:proofErr w:type="gramEnd"/>
            <w:r>
              <w:rPr>
                <w:sz w:val="20"/>
                <w:szCs w:val="20"/>
                <w:lang w:val="en-US"/>
              </w:rPr>
              <w:t xml:space="preserve"> 6º</w:t>
            </w:r>
          </w:p>
        </w:tc>
      </w:tr>
      <w:tr w:rsidR="00492B97" w:rsidRPr="007939E7" w:rsidTr="000017FF">
        <w:trPr>
          <w:trHeight w:val="416"/>
        </w:trPr>
        <w:tc>
          <w:tcPr>
            <w:tcW w:w="1101" w:type="dxa"/>
          </w:tcPr>
          <w:p w:rsidR="00492B97" w:rsidRPr="00A462DE" w:rsidRDefault="007F720A" w:rsidP="000017FF">
            <w:pPr>
              <w:jc w:val="center"/>
              <w:rPr>
                <w:rFonts w:ascii="Century Gothic" w:hAnsi="Century Gothic"/>
                <w:b/>
                <w:sz w:val="18"/>
                <w:szCs w:val="18"/>
                <w:lang w:val="en-US"/>
              </w:rPr>
            </w:pPr>
            <w:r>
              <w:rPr>
                <w:rFonts w:ascii="Century Gothic" w:hAnsi="Century Gothic"/>
                <w:b/>
                <w:sz w:val="18"/>
                <w:szCs w:val="18"/>
                <w:lang w:val="en-US"/>
              </w:rPr>
              <w:t xml:space="preserve"> </w:t>
            </w:r>
            <w:r w:rsidR="00492B97" w:rsidRPr="00A462DE">
              <w:rPr>
                <w:rFonts w:ascii="Century Gothic" w:hAnsi="Century Gothic"/>
                <w:b/>
                <w:sz w:val="18"/>
                <w:szCs w:val="18"/>
                <w:lang w:val="en-US"/>
              </w:rPr>
              <w:t>492221</w:t>
            </w: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492221</w:t>
            </w:r>
          </w:p>
        </w:tc>
        <w:tc>
          <w:tcPr>
            <w:tcW w:w="4394" w:type="dxa"/>
          </w:tcPr>
          <w:p w:rsidR="00492B97" w:rsidRPr="008C15CA" w:rsidRDefault="00492B97" w:rsidP="000017FF">
            <w:pPr>
              <w:rPr>
                <w:rFonts w:ascii="Century Gothic" w:eastAsia="Calibri" w:hAnsi="Century Gothic"/>
                <w:sz w:val="18"/>
                <w:szCs w:val="18"/>
              </w:rPr>
            </w:pPr>
            <w:r w:rsidRPr="008C15CA">
              <w:rPr>
                <w:rFonts w:ascii="Century Gothic" w:eastAsia="Calibri" w:hAnsi="Century Gothic"/>
                <w:sz w:val="18"/>
                <w:szCs w:val="18"/>
              </w:rPr>
              <w:t>Servicios de transporte</w:t>
            </w:r>
            <w:r>
              <w:rPr>
                <w:rFonts w:ascii="Century Gothic" w:eastAsia="Calibri" w:hAnsi="Century Gothic"/>
                <w:sz w:val="18"/>
                <w:szCs w:val="18"/>
              </w:rPr>
              <w:t xml:space="preserve"> automotor de cereales</w:t>
            </w:r>
          </w:p>
        </w:tc>
        <w:tc>
          <w:tcPr>
            <w:tcW w:w="1843" w:type="dxa"/>
            <w:vMerge/>
          </w:tcPr>
          <w:p w:rsidR="00492B97" w:rsidRPr="007939E7" w:rsidRDefault="00492B97" w:rsidP="000017FF">
            <w:pPr>
              <w:jc w:val="center"/>
              <w:rPr>
                <w:sz w:val="20"/>
                <w:szCs w:val="20"/>
              </w:rPr>
            </w:pPr>
          </w:p>
        </w:tc>
        <w:tc>
          <w:tcPr>
            <w:tcW w:w="2835" w:type="dxa"/>
            <w:vMerge/>
          </w:tcPr>
          <w:p w:rsidR="00492B97" w:rsidRPr="007939E7" w:rsidRDefault="00492B97" w:rsidP="000017FF">
            <w:pPr>
              <w:rPr>
                <w:sz w:val="20"/>
                <w:szCs w:val="20"/>
              </w:rPr>
            </w:pPr>
          </w:p>
        </w:tc>
      </w:tr>
      <w:tr w:rsidR="00492B97" w:rsidRPr="007939E7" w:rsidTr="000017FF">
        <w:trPr>
          <w:trHeight w:val="563"/>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492229</w:t>
            </w:r>
          </w:p>
          <w:p w:rsidR="00492B97" w:rsidRPr="008C15CA" w:rsidRDefault="00492B97" w:rsidP="000017FF">
            <w:pPr>
              <w:jc w:val="center"/>
              <w:rPr>
                <w:rFonts w:ascii="Century Gothic" w:hAnsi="Century Gothic"/>
                <w:b/>
                <w:sz w:val="18"/>
                <w:szCs w:val="18"/>
              </w:rPr>
            </w:pPr>
          </w:p>
          <w:p w:rsidR="00492B97" w:rsidRPr="008C15CA" w:rsidRDefault="00492B97" w:rsidP="000017FF">
            <w:pPr>
              <w:jc w:val="center"/>
              <w:rPr>
                <w:rFonts w:ascii="Century Gothic" w:hAnsi="Century Gothic"/>
                <w:b/>
                <w:sz w:val="18"/>
                <w:szCs w:val="18"/>
              </w:rPr>
            </w:pP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492229</w:t>
            </w:r>
          </w:p>
        </w:tc>
        <w:tc>
          <w:tcPr>
            <w:tcW w:w="4394" w:type="dxa"/>
          </w:tcPr>
          <w:p w:rsidR="00492B97" w:rsidRPr="008C15CA" w:rsidRDefault="00492B97" w:rsidP="000017FF">
            <w:pPr>
              <w:rPr>
                <w:rFonts w:ascii="Century Gothic" w:hAnsi="Century Gothic"/>
                <w:b/>
                <w:sz w:val="18"/>
                <w:szCs w:val="18"/>
              </w:rPr>
            </w:pPr>
            <w:r w:rsidRPr="008C15CA">
              <w:rPr>
                <w:rFonts w:ascii="Century Gothic" w:eastAsia="Calibri" w:hAnsi="Century Gothic"/>
                <w:sz w:val="18"/>
                <w:szCs w:val="18"/>
              </w:rPr>
              <w:t>Servicios de transporte de mercaderías a granel</w:t>
            </w:r>
            <w:r>
              <w:rPr>
                <w:rFonts w:ascii="Century Gothic" w:eastAsia="Calibri" w:hAnsi="Century Gothic"/>
                <w:sz w:val="18"/>
                <w:szCs w:val="18"/>
              </w:rPr>
              <w:t xml:space="preserve"> </w:t>
            </w:r>
            <w:proofErr w:type="spellStart"/>
            <w:r>
              <w:rPr>
                <w:rFonts w:ascii="Century Gothic" w:eastAsia="Calibri" w:hAnsi="Century Gothic"/>
                <w:sz w:val="18"/>
                <w:szCs w:val="18"/>
              </w:rPr>
              <w:t>n.c.p</w:t>
            </w:r>
            <w:proofErr w:type="spellEnd"/>
            <w:r>
              <w:rPr>
                <w:rFonts w:ascii="Century Gothic" w:eastAsia="Calibri" w:hAnsi="Century Gothic"/>
                <w:sz w:val="18"/>
                <w:szCs w:val="18"/>
              </w:rPr>
              <w:t>.</w:t>
            </w:r>
          </w:p>
        </w:tc>
        <w:tc>
          <w:tcPr>
            <w:tcW w:w="1843" w:type="dxa"/>
            <w:vMerge/>
          </w:tcPr>
          <w:p w:rsidR="00492B97" w:rsidRPr="007939E7" w:rsidRDefault="00492B97" w:rsidP="000017FF">
            <w:pPr>
              <w:jc w:val="center"/>
              <w:rPr>
                <w:sz w:val="20"/>
                <w:szCs w:val="20"/>
              </w:rPr>
            </w:pPr>
          </w:p>
        </w:tc>
        <w:tc>
          <w:tcPr>
            <w:tcW w:w="2835" w:type="dxa"/>
            <w:vMerge/>
          </w:tcPr>
          <w:p w:rsidR="00492B97" w:rsidRPr="007939E7" w:rsidRDefault="00492B97" w:rsidP="000017FF">
            <w:pPr>
              <w:rPr>
                <w:sz w:val="20"/>
                <w:szCs w:val="20"/>
              </w:rPr>
            </w:pPr>
          </w:p>
        </w:tc>
      </w:tr>
      <w:tr w:rsidR="00492B97" w:rsidRPr="007939E7" w:rsidTr="000017FF">
        <w:trPr>
          <w:trHeight w:val="290"/>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w:t>
            </w:r>
            <w:r w:rsidRPr="008C15CA">
              <w:rPr>
                <w:rFonts w:ascii="Century Gothic" w:hAnsi="Century Gothic"/>
                <w:b/>
                <w:sz w:val="18"/>
                <w:szCs w:val="18"/>
              </w:rPr>
              <w:t>30</w:t>
            </w:r>
          </w:p>
          <w:p w:rsidR="00492B97" w:rsidRPr="008C15CA" w:rsidRDefault="00492B97" w:rsidP="000017FF">
            <w:pPr>
              <w:jc w:val="center"/>
              <w:rPr>
                <w:rFonts w:ascii="Century Gothic" w:hAnsi="Century Gothic"/>
                <w:sz w:val="18"/>
                <w:szCs w:val="18"/>
              </w:rPr>
            </w:pP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w:t>
            </w:r>
            <w:r w:rsidRPr="008C15CA">
              <w:rPr>
                <w:rFonts w:ascii="Century Gothic" w:hAnsi="Century Gothic"/>
                <w:b/>
                <w:sz w:val="18"/>
                <w:szCs w:val="18"/>
              </w:rPr>
              <w:t>230</w:t>
            </w:r>
          </w:p>
          <w:p w:rsidR="00492B97" w:rsidRPr="008C15CA" w:rsidRDefault="00492B97" w:rsidP="000017FF">
            <w:pPr>
              <w:jc w:val="center"/>
              <w:rPr>
                <w:rFonts w:ascii="Century Gothic" w:hAnsi="Century Gothic"/>
                <w:sz w:val="18"/>
                <w:szCs w:val="18"/>
              </w:rPr>
            </w:pPr>
          </w:p>
        </w:tc>
        <w:tc>
          <w:tcPr>
            <w:tcW w:w="4394" w:type="dxa"/>
          </w:tcPr>
          <w:p w:rsidR="00492B97" w:rsidRPr="008C15CA" w:rsidRDefault="00492B97" w:rsidP="000017FF">
            <w:pPr>
              <w:rPr>
                <w:rFonts w:ascii="Century Gothic" w:hAnsi="Century Gothic"/>
                <w:sz w:val="18"/>
                <w:szCs w:val="18"/>
              </w:rPr>
            </w:pPr>
            <w:r w:rsidRPr="008C15CA">
              <w:rPr>
                <w:rFonts w:ascii="Century Gothic" w:eastAsia="Calibri" w:hAnsi="Century Gothic"/>
                <w:sz w:val="18"/>
                <w:szCs w:val="18"/>
              </w:rPr>
              <w:t>Servicios de transporte</w:t>
            </w:r>
            <w:r>
              <w:rPr>
                <w:rFonts w:ascii="Century Gothic" w:eastAsia="Calibri" w:hAnsi="Century Gothic"/>
                <w:sz w:val="18"/>
                <w:szCs w:val="18"/>
              </w:rPr>
              <w:t xml:space="preserve"> automotor</w:t>
            </w:r>
            <w:r w:rsidRPr="008C15CA">
              <w:rPr>
                <w:rFonts w:ascii="Century Gothic" w:eastAsia="Calibri" w:hAnsi="Century Gothic"/>
                <w:sz w:val="18"/>
                <w:szCs w:val="18"/>
              </w:rPr>
              <w:t xml:space="preserve"> de animales</w:t>
            </w:r>
          </w:p>
        </w:tc>
        <w:tc>
          <w:tcPr>
            <w:tcW w:w="1843" w:type="dxa"/>
            <w:vMerge/>
          </w:tcPr>
          <w:p w:rsidR="00492B97" w:rsidRPr="007939E7" w:rsidRDefault="00492B97" w:rsidP="000017FF">
            <w:pPr>
              <w:jc w:val="center"/>
              <w:rPr>
                <w:sz w:val="20"/>
                <w:szCs w:val="20"/>
              </w:rPr>
            </w:pPr>
          </w:p>
        </w:tc>
        <w:tc>
          <w:tcPr>
            <w:tcW w:w="2835" w:type="dxa"/>
            <w:vMerge/>
          </w:tcPr>
          <w:p w:rsidR="00492B97" w:rsidRPr="007939E7" w:rsidRDefault="00492B97" w:rsidP="000017FF">
            <w:pPr>
              <w:rPr>
                <w:sz w:val="20"/>
                <w:szCs w:val="20"/>
              </w:rPr>
            </w:pPr>
          </w:p>
        </w:tc>
      </w:tr>
      <w:tr w:rsidR="00492B97" w:rsidRPr="00123DFD" w:rsidTr="000017FF">
        <w:trPr>
          <w:trHeight w:val="326"/>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492240</w:t>
            </w: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492240</w:t>
            </w:r>
          </w:p>
        </w:tc>
        <w:tc>
          <w:tcPr>
            <w:tcW w:w="4394" w:type="dxa"/>
          </w:tcPr>
          <w:p w:rsidR="00492B97" w:rsidRPr="008C15CA" w:rsidRDefault="00492B97" w:rsidP="000017FF">
            <w:pPr>
              <w:autoSpaceDE w:val="0"/>
              <w:autoSpaceDN w:val="0"/>
              <w:adjustRightInd w:val="0"/>
              <w:rPr>
                <w:rFonts w:ascii="Century Gothic" w:eastAsia="Calibri" w:hAnsi="Century Gothic"/>
                <w:sz w:val="18"/>
                <w:szCs w:val="18"/>
              </w:rPr>
            </w:pPr>
            <w:r w:rsidRPr="008C15CA">
              <w:rPr>
                <w:rFonts w:ascii="Century Gothic" w:eastAsia="Calibri" w:hAnsi="Century Gothic"/>
                <w:sz w:val="18"/>
                <w:szCs w:val="18"/>
              </w:rPr>
              <w:t>Servicios de transporte</w:t>
            </w:r>
            <w:r>
              <w:rPr>
                <w:rFonts w:ascii="Century Gothic" w:eastAsia="Calibri" w:hAnsi="Century Gothic"/>
                <w:sz w:val="18"/>
                <w:szCs w:val="18"/>
              </w:rPr>
              <w:t xml:space="preserve"> por camión cisterna</w:t>
            </w:r>
          </w:p>
        </w:tc>
        <w:tc>
          <w:tcPr>
            <w:tcW w:w="1843" w:type="dxa"/>
            <w:vMerge/>
          </w:tcPr>
          <w:p w:rsidR="00492B97" w:rsidRPr="00123DFD" w:rsidRDefault="00492B97" w:rsidP="000017FF">
            <w:pPr>
              <w:jc w:val="center"/>
              <w:rPr>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326"/>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492250</w:t>
            </w: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492250</w:t>
            </w:r>
          </w:p>
        </w:tc>
        <w:tc>
          <w:tcPr>
            <w:tcW w:w="4394" w:type="dxa"/>
          </w:tcPr>
          <w:p w:rsidR="00492B97" w:rsidRPr="008C15CA" w:rsidRDefault="00492B97" w:rsidP="000017FF">
            <w:pPr>
              <w:rPr>
                <w:rFonts w:ascii="Century Gothic" w:hAnsi="Century Gothic"/>
                <w:b/>
                <w:sz w:val="18"/>
                <w:szCs w:val="18"/>
              </w:rPr>
            </w:pPr>
            <w:r w:rsidRPr="008C15CA">
              <w:rPr>
                <w:rFonts w:ascii="Century Gothic" w:eastAsia="Calibri" w:hAnsi="Century Gothic"/>
                <w:sz w:val="18"/>
                <w:szCs w:val="18"/>
              </w:rPr>
              <w:t xml:space="preserve">Servicios de transporte de mercaderías </w:t>
            </w:r>
            <w:r>
              <w:rPr>
                <w:rFonts w:ascii="Century Gothic" w:eastAsia="Calibri" w:hAnsi="Century Gothic"/>
                <w:sz w:val="18"/>
                <w:szCs w:val="18"/>
              </w:rPr>
              <w:t>y sustancias peligrosas</w:t>
            </w:r>
          </w:p>
        </w:tc>
        <w:tc>
          <w:tcPr>
            <w:tcW w:w="1843" w:type="dxa"/>
            <w:vMerge/>
          </w:tcPr>
          <w:p w:rsidR="00492B97" w:rsidRPr="00123DFD" w:rsidRDefault="00492B97" w:rsidP="000017FF">
            <w:pPr>
              <w:jc w:val="center"/>
              <w:rPr>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492"/>
        </w:trPr>
        <w:tc>
          <w:tcPr>
            <w:tcW w:w="1101" w:type="dxa"/>
          </w:tcPr>
          <w:p w:rsidR="00492B97" w:rsidRPr="008C15CA" w:rsidRDefault="00492B97" w:rsidP="000017FF">
            <w:pPr>
              <w:jc w:val="center"/>
              <w:rPr>
                <w:rFonts w:ascii="Century Gothic" w:hAnsi="Century Gothic"/>
                <w:sz w:val="18"/>
                <w:szCs w:val="18"/>
              </w:rPr>
            </w:pPr>
            <w:r>
              <w:rPr>
                <w:rFonts w:ascii="Century Gothic" w:hAnsi="Century Gothic"/>
                <w:b/>
                <w:sz w:val="18"/>
                <w:szCs w:val="18"/>
              </w:rPr>
              <w:t>492280</w:t>
            </w:r>
          </w:p>
        </w:tc>
        <w:tc>
          <w:tcPr>
            <w:tcW w:w="1134" w:type="dxa"/>
          </w:tcPr>
          <w:p w:rsidR="00492B97" w:rsidRPr="008C15CA" w:rsidRDefault="00492B97" w:rsidP="000017FF">
            <w:pPr>
              <w:jc w:val="center"/>
              <w:rPr>
                <w:rFonts w:ascii="Century Gothic" w:hAnsi="Century Gothic"/>
                <w:sz w:val="18"/>
                <w:szCs w:val="18"/>
              </w:rPr>
            </w:pPr>
            <w:r>
              <w:rPr>
                <w:rFonts w:ascii="Century Gothic" w:hAnsi="Century Gothic"/>
                <w:b/>
                <w:sz w:val="18"/>
                <w:szCs w:val="18"/>
              </w:rPr>
              <w:t>492280</w:t>
            </w:r>
          </w:p>
        </w:tc>
        <w:tc>
          <w:tcPr>
            <w:tcW w:w="4394" w:type="dxa"/>
          </w:tcPr>
          <w:p w:rsidR="00492B97" w:rsidRPr="008C15CA" w:rsidRDefault="00492B97" w:rsidP="000017FF">
            <w:pPr>
              <w:autoSpaceDE w:val="0"/>
              <w:autoSpaceDN w:val="0"/>
              <w:adjustRightInd w:val="0"/>
              <w:rPr>
                <w:rFonts w:ascii="Century Gothic" w:eastAsia="Calibri" w:hAnsi="Century Gothic"/>
                <w:sz w:val="18"/>
                <w:szCs w:val="18"/>
              </w:rPr>
            </w:pPr>
            <w:r w:rsidRPr="008C15CA">
              <w:rPr>
                <w:rFonts w:ascii="Century Gothic" w:eastAsia="Calibri" w:hAnsi="Century Gothic"/>
                <w:sz w:val="18"/>
                <w:szCs w:val="18"/>
              </w:rPr>
              <w:t xml:space="preserve">Servicio de transporte </w:t>
            </w:r>
            <w:r>
              <w:rPr>
                <w:rFonts w:ascii="Century Gothic" w:eastAsia="Calibri" w:hAnsi="Century Gothic"/>
                <w:sz w:val="18"/>
                <w:szCs w:val="18"/>
              </w:rPr>
              <w:t xml:space="preserve">automotor </w:t>
            </w:r>
            <w:r w:rsidRPr="008C15CA">
              <w:rPr>
                <w:rFonts w:ascii="Century Gothic" w:eastAsia="Calibri" w:hAnsi="Century Gothic"/>
                <w:sz w:val="18"/>
                <w:szCs w:val="18"/>
              </w:rPr>
              <w:t xml:space="preserve">urbano de carga </w:t>
            </w:r>
            <w:proofErr w:type="spellStart"/>
            <w:r w:rsidRPr="008C15CA">
              <w:rPr>
                <w:rFonts w:ascii="Century Gothic" w:eastAsia="Calibri" w:hAnsi="Century Gothic"/>
                <w:sz w:val="18"/>
                <w:szCs w:val="18"/>
              </w:rPr>
              <w:t>n</w:t>
            </w:r>
            <w:r>
              <w:rPr>
                <w:rFonts w:ascii="Century Gothic" w:eastAsia="Calibri" w:hAnsi="Century Gothic"/>
                <w:sz w:val="18"/>
                <w:szCs w:val="18"/>
              </w:rPr>
              <w:t>.c.p</w:t>
            </w:r>
            <w:proofErr w:type="spellEnd"/>
            <w:r>
              <w:rPr>
                <w:rFonts w:ascii="Century Gothic" w:eastAsia="Calibri" w:hAnsi="Century Gothic"/>
                <w:sz w:val="18"/>
                <w:szCs w:val="18"/>
              </w:rPr>
              <w:t>.</w:t>
            </w:r>
          </w:p>
          <w:p w:rsidR="00492B97" w:rsidRPr="008C15CA" w:rsidRDefault="00492B97" w:rsidP="000017FF">
            <w:pPr>
              <w:autoSpaceDE w:val="0"/>
              <w:autoSpaceDN w:val="0"/>
              <w:adjustRightInd w:val="0"/>
              <w:rPr>
                <w:rFonts w:ascii="Century Gothic" w:eastAsia="Calibri" w:hAnsi="Century Gothic"/>
                <w:sz w:val="18"/>
                <w:szCs w:val="18"/>
              </w:rPr>
            </w:pPr>
          </w:p>
        </w:tc>
        <w:tc>
          <w:tcPr>
            <w:tcW w:w="1843" w:type="dxa"/>
            <w:vMerge/>
          </w:tcPr>
          <w:p w:rsidR="00492B97" w:rsidRPr="00123DFD" w:rsidRDefault="00492B97" w:rsidP="000017FF">
            <w:pPr>
              <w:jc w:val="center"/>
              <w:rPr>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492"/>
        </w:trPr>
        <w:tc>
          <w:tcPr>
            <w:tcW w:w="1101" w:type="dxa"/>
          </w:tcPr>
          <w:p w:rsidR="00492B97" w:rsidRDefault="00492B97" w:rsidP="000017FF">
            <w:pPr>
              <w:jc w:val="center"/>
              <w:rPr>
                <w:rFonts w:ascii="Century Gothic" w:hAnsi="Century Gothic"/>
                <w:b/>
                <w:sz w:val="18"/>
                <w:szCs w:val="18"/>
              </w:rPr>
            </w:pPr>
            <w:r>
              <w:rPr>
                <w:rFonts w:ascii="Century Gothic" w:hAnsi="Century Gothic"/>
                <w:b/>
                <w:sz w:val="18"/>
                <w:szCs w:val="18"/>
              </w:rPr>
              <w:t>492291</w:t>
            </w:r>
          </w:p>
        </w:tc>
        <w:tc>
          <w:tcPr>
            <w:tcW w:w="1134" w:type="dxa"/>
          </w:tcPr>
          <w:p w:rsidR="00492B97" w:rsidRDefault="00492B97" w:rsidP="000017FF">
            <w:pPr>
              <w:jc w:val="center"/>
              <w:rPr>
                <w:rFonts w:ascii="Century Gothic" w:hAnsi="Century Gothic"/>
                <w:b/>
                <w:sz w:val="18"/>
                <w:szCs w:val="18"/>
              </w:rPr>
            </w:pPr>
            <w:r>
              <w:rPr>
                <w:rFonts w:ascii="Century Gothic" w:hAnsi="Century Gothic"/>
                <w:b/>
                <w:sz w:val="18"/>
                <w:szCs w:val="18"/>
              </w:rPr>
              <w:t>492291</w:t>
            </w:r>
          </w:p>
        </w:tc>
        <w:tc>
          <w:tcPr>
            <w:tcW w:w="4394" w:type="dxa"/>
          </w:tcPr>
          <w:p w:rsidR="00492B97" w:rsidRPr="008C15CA" w:rsidRDefault="00492B97" w:rsidP="000017FF">
            <w:pPr>
              <w:autoSpaceDE w:val="0"/>
              <w:autoSpaceDN w:val="0"/>
              <w:adjustRightInd w:val="0"/>
              <w:rPr>
                <w:rFonts w:ascii="Century Gothic" w:eastAsia="Calibri" w:hAnsi="Century Gothic"/>
                <w:sz w:val="18"/>
                <w:szCs w:val="18"/>
              </w:rPr>
            </w:pPr>
            <w:r>
              <w:rPr>
                <w:rFonts w:ascii="Century Gothic" w:eastAsia="Calibri" w:hAnsi="Century Gothic"/>
                <w:sz w:val="18"/>
                <w:szCs w:val="18"/>
              </w:rPr>
              <w:t>Servicios de transporte automotor de petróleo y gas</w:t>
            </w:r>
          </w:p>
        </w:tc>
        <w:tc>
          <w:tcPr>
            <w:tcW w:w="1843" w:type="dxa"/>
            <w:vMerge/>
          </w:tcPr>
          <w:p w:rsidR="00492B97" w:rsidRPr="00123DFD" w:rsidRDefault="00492B97" w:rsidP="000017FF">
            <w:pPr>
              <w:jc w:val="center"/>
              <w:rPr>
                <w:sz w:val="20"/>
                <w:szCs w:val="20"/>
              </w:rPr>
            </w:pPr>
          </w:p>
        </w:tc>
        <w:tc>
          <w:tcPr>
            <w:tcW w:w="2835" w:type="dxa"/>
            <w:vMerge/>
          </w:tcPr>
          <w:p w:rsidR="00492B97" w:rsidRPr="00123DFD" w:rsidRDefault="00492B97" w:rsidP="000017FF">
            <w:pPr>
              <w:rPr>
                <w:sz w:val="20"/>
                <w:szCs w:val="20"/>
              </w:rPr>
            </w:pPr>
          </w:p>
        </w:tc>
      </w:tr>
      <w:tr w:rsidR="00492B97" w:rsidRPr="00123DFD" w:rsidTr="00112874">
        <w:trPr>
          <w:trHeight w:val="541"/>
        </w:trPr>
        <w:tc>
          <w:tcPr>
            <w:tcW w:w="1101" w:type="dxa"/>
          </w:tcPr>
          <w:p w:rsidR="00492B97" w:rsidRPr="008C15CA" w:rsidRDefault="00492B97" w:rsidP="000017FF">
            <w:pPr>
              <w:jc w:val="center"/>
              <w:rPr>
                <w:rFonts w:ascii="Century Gothic" w:hAnsi="Century Gothic"/>
                <w:sz w:val="18"/>
                <w:szCs w:val="18"/>
              </w:rPr>
            </w:pPr>
            <w:r>
              <w:rPr>
                <w:rFonts w:ascii="Century Gothic" w:hAnsi="Century Gothic"/>
                <w:b/>
                <w:sz w:val="18"/>
                <w:szCs w:val="18"/>
              </w:rPr>
              <w:t>492299</w:t>
            </w:r>
          </w:p>
        </w:tc>
        <w:tc>
          <w:tcPr>
            <w:tcW w:w="1134" w:type="dxa"/>
          </w:tcPr>
          <w:p w:rsidR="00492B97" w:rsidRPr="008C15CA" w:rsidRDefault="00492B97" w:rsidP="000017FF">
            <w:pPr>
              <w:jc w:val="center"/>
              <w:rPr>
                <w:rFonts w:ascii="Century Gothic" w:hAnsi="Century Gothic"/>
                <w:sz w:val="18"/>
                <w:szCs w:val="18"/>
              </w:rPr>
            </w:pPr>
            <w:r>
              <w:rPr>
                <w:rFonts w:ascii="Century Gothic" w:hAnsi="Century Gothic"/>
                <w:b/>
                <w:sz w:val="18"/>
                <w:szCs w:val="18"/>
              </w:rPr>
              <w:t>492299</w:t>
            </w:r>
          </w:p>
        </w:tc>
        <w:tc>
          <w:tcPr>
            <w:tcW w:w="4394" w:type="dxa"/>
          </w:tcPr>
          <w:p w:rsidR="00492B97" w:rsidRPr="008C15CA" w:rsidRDefault="00492B97" w:rsidP="000017FF">
            <w:pPr>
              <w:autoSpaceDE w:val="0"/>
              <w:autoSpaceDN w:val="0"/>
              <w:adjustRightInd w:val="0"/>
              <w:rPr>
                <w:rFonts w:ascii="Century Gothic" w:hAnsi="Century Gothic"/>
                <w:sz w:val="18"/>
                <w:szCs w:val="18"/>
              </w:rPr>
            </w:pPr>
            <w:r>
              <w:rPr>
                <w:rFonts w:ascii="Century Gothic" w:eastAsia="Calibri" w:hAnsi="Century Gothic"/>
                <w:sz w:val="18"/>
                <w:szCs w:val="18"/>
              </w:rPr>
              <w:t>Servicio de t</w:t>
            </w:r>
            <w:r w:rsidRPr="008C15CA">
              <w:rPr>
                <w:rFonts w:ascii="Century Gothic" w:eastAsia="Calibri" w:hAnsi="Century Gothic"/>
                <w:sz w:val="18"/>
                <w:szCs w:val="18"/>
              </w:rPr>
              <w:t xml:space="preserve">ransporte automotor de </w:t>
            </w:r>
            <w:proofErr w:type="gramStart"/>
            <w:r w:rsidRPr="008C15CA">
              <w:rPr>
                <w:rFonts w:ascii="Century Gothic" w:eastAsia="Calibri" w:hAnsi="Century Gothic"/>
                <w:sz w:val="18"/>
                <w:szCs w:val="18"/>
              </w:rPr>
              <w:t xml:space="preserve">cargas </w:t>
            </w:r>
            <w:r>
              <w:rPr>
                <w:rFonts w:ascii="Century Gothic" w:eastAsia="Calibri" w:hAnsi="Century Gothic"/>
                <w:sz w:val="18"/>
                <w:szCs w:val="18"/>
              </w:rPr>
              <w:t xml:space="preserve"> </w:t>
            </w:r>
            <w:proofErr w:type="spellStart"/>
            <w:r>
              <w:rPr>
                <w:rFonts w:ascii="Century Gothic" w:eastAsia="Calibri" w:hAnsi="Century Gothic"/>
                <w:sz w:val="18"/>
                <w:szCs w:val="18"/>
              </w:rPr>
              <w:t>n.c.p</w:t>
            </w:r>
            <w:proofErr w:type="spellEnd"/>
            <w:r>
              <w:rPr>
                <w:rFonts w:ascii="Century Gothic" w:eastAsia="Calibri" w:hAnsi="Century Gothic"/>
                <w:sz w:val="18"/>
                <w:szCs w:val="18"/>
              </w:rPr>
              <w:t>.</w:t>
            </w:r>
            <w:proofErr w:type="gramEnd"/>
          </w:p>
        </w:tc>
        <w:tc>
          <w:tcPr>
            <w:tcW w:w="1843" w:type="dxa"/>
            <w:vMerge/>
          </w:tcPr>
          <w:p w:rsidR="00492B97" w:rsidRPr="00123DFD" w:rsidRDefault="00492B97" w:rsidP="000017FF">
            <w:pPr>
              <w:jc w:val="center"/>
              <w:rPr>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777"/>
        </w:trPr>
        <w:tc>
          <w:tcPr>
            <w:tcW w:w="1101" w:type="dxa"/>
          </w:tcPr>
          <w:p w:rsidR="00492B97" w:rsidRPr="008C15CA" w:rsidRDefault="00492B97" w:rsidP="000017FF">
            <w:pPr>
              <w:jc w:val="center"/>
              <w:rPr>
                <w:rFonts w:ascii="Century Gothic" w:hAnsi="Century Gothic"/>
                <w:sz w:val="18"/>
                <w:szCs w:val="18"/>
              </w:rPr>
            </w:pPr>
          </w:p>
          <w:p w:rsidR="00492B97" w:rsidRPr="008C15CA" w:rsidRDefault="00492B97" w:rsidP="000017FF">
            <w:pPr>
              <w:jc w:val="center"/>
              <w:rPr>
                <w:rFonts w:ascii="Century Gothic" w:hAnsi="Century Gothic"/>
                <w:b/>
                <w:sz w:val="18"/>
                <w:szCs w:val="18"/>
              </w:rPr>
            </w:pPr>
            <w:r>
              <w:rPr>
                <w:rFonts w:ascii="Century Gothic" w:hAnsi="Century Gothic"/>
                <w:b/>
                <w:sz w:val="18"/>
                <w:szCs w:val="18"/>
              </w:rPr>
              <w:t>523032</w:t>
            </w:r>
          </w:p>
        </w:tc>
        <w:tc>
          <w:tcPr>
            <w:tcW w:w="1134" w:type="dxa"/>
          </w:tcPr>
          <w:p w:rsidR="00492B97" w:rsidRPr="008C15CA" w:rsidRDefault="00492B97" w:rsidP="000017FF">
            <w:pPr>
              <w:jc w:val="center"/>
              <w:rPr>
                <w:rFonts w:ascii="Century Gothic" w:hAnsi="Century Gothic"/>
                <w:sz w:val="18"/>
                <w:szCs w:val="18"/>
              </w:rPr>
            </w:pPr>
          </w:p>
          <w:p w:rsidR="00492B97" w:rsidRPr="008C15CA" w:rsidRDefault="00492B97" w:rsidP="000017FF">
            <w:pPr>
              <w:jc w:val="center"/>
              <w:rPr>
                <w:rFonts w:ascii="Century Gothic" w:hAnsi="Century Gothic"/>
                <w:b/>
                <w:sz w:val="18"/>
                <w:szCs w:val="18"/>
              </w:rPr>
            </w:pPr>
            <w:r>
              <w:rPr>
                <w:rFonts w:ascii="Century Gothic" w:hAnsi="Century Gothic"/>
                <w:b/>
                <w:sz w:val="18"/>
                <w:szCs w:val="18"/>
              </w:rPr>
              <w:t>523032</w:t>
            </w:r>
          </w:p>
        </w:tc>
        <w:tc>
          <w:tcPr>
            <w:tcW w:w="4394" w:type="dxa"/>
          </w:tcPr>
          <w:p w:rsidR="00492B97" w:rsidRPr="008C15CA" w:rsidRDefault="00492B97" w:rsidP="000017FF">
            <w:pPr>
              <w:rPr>
                <w:rFonts w:ascii="Century Gothic" w:hAnsi="Century Gothic"/>
                <w:sz w:val="18"/>
                <w:szCs w:val="18"/>
              </w:rPr>
            </w:pPr>
          </w:p>
          <w:p w:rsidR="00492B97" w:rsidRPr="00DA6074" w:rsidRDefault="00492B97" w:rsidP="000017FF">
            <w:pPr>
              <w:rPr>
                <w:rFonts w:ascii="Century Gothic" w:hAnsi="Century Gothic"/>
                <w:sz w:val="18"/>
                <w:szCs w:val="18"/>
              </w:rPr>
            </w:pPr>
            <w:r w:rsidRPr="00DA6074">
              <w:rPr>
                <w:rFonts w:ascii="Century Gothic" w:hAnsi="Century Gothic"/>
                <w:sz w:val="18"/>
                <w:szCs w:val="18"/>
              </w:rPr>
              <w:t>Servicios de operadores logísticos seguros (OLS) en el ámbito aduanero</w:t>
            </w:r>
          </w:p>
        </w:tc>
        <w:tc>
          <w:tcPr>
            <w:tcW w:w="1843" w:type="dxa"/>
            <w:vMerge w:val="restart"/>
          </w:tcPr>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Default="00492B97" w:rsidP="000017FF">
            <w:pPr>
              <w:jc w:val="center"/>
              <w:rPr>
                <w:b/>
                <w:sz w:val="20"/>
                <w:szCs w:val="20"/>
              </w:rPr>
            </w:pPr>
          </w:p>
          <w:p w:rsidR="00492B97" w:rsidRPr="00352FD4" w:rsidRDefault="00492B97" w:rsidP="000017FF">
            <w:pPr>
              <w:jc w:val="center"/>
              <w:rPr>
                <w:b/>
                <w:sz w:val="20"/>
                <w:szCs w:val="20"/>
              </w:rPr>
            </w:pPr>
            <w:r>
              <w:rPr>
                <w:b/>
                <w:sz w:val="20"/>
                <w:szCs w:val="20"/>
              </w:rPr>
              <w:t>5%</w:t>
            </w:r>
          </w:p>
        </w:tc>
        <w:tc>
          <w:tcPr>
            <w:tcW w:w="2835" w:type="dxa"/>
            <w:vMerge/>
          </w:tcPr>
          <w:p w:rsidR="00492B97" w:rsidRPr="007939E7" w:rsidRDefault="00492B97" w:rsidP="000017FF">
            <w:pPr>
              <w:rPr>
                <w:sz w:val="20"/>
                <w:szCs w:val="20"/>
              </w:rPr>
            </w:pPr>
          </w:p>
        </w:tc>
      </w:tr>
      <w:tr w:rsidR="00492B97" w:rsidRPr="00123DFD" w:rsidTr="000017FF">
        <w:trPr>
          <w:trHeight w:val="563"/>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523039</w:t>
            </w: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523039</w:t>
            </w:r>
          </w:p>
        </w:tc>
        <w:tc>
          <w:tcPr>
            <w:tcW w:w="4394" w:type="dxa"/>
          </w:tcPr>
          <w:p w:rsidR="00492B97" w:rsidRPr="008C15CA" w:rsidRDefault="00492B97" w:rsidP="000017FF">
            <w:pPr>
              <w:autoSpaceDE w:val="0"/>
              <w:autoSpaceDN w:val="0"/>
              <w:adjustRightInd w:val="0"/>
              <w:rPr>
                <w:rFonts w:ascii="Century Gothic" w:eastAsia="Calibri" w:hAnsi="Century Gothic"/>
                <w:sz w:val="18"/>
                <w:szCs w:val="18"/>
              </w:rPr>
            </w:pPr>
            <w:r>
              <w:rPr>
                <w:rFonts w:ascii="Century Gothic" w:eastAsia="Calibri" w:hAnsi="Century Gothic"/>
                <w:sz w:val="18"/>
                <w:szCs w:val="18"/>
              </w:rPr>
              <w:t xml:space="preserve">Servicio de operadores logísticos </w:t>
            </w:r>
            <w:proofErr w:type="spellStart"/>
            <w:r>
              <w:rPr>
                <w:rFonts w:ascii="Century Gothic" w:eastAsia="Calibri" w:hAnsi="Century Gothic"/>
                <w:sz w:val="18"/>
                <w:szCs w:val="18"/>
              </w:rPr>
              <w:t>n.c.p</w:t>
            </w:r>
            <w:proofErr w:type="spellEnd"/>
            <w:r>
              <w:rPr>
                <w:rFonts w:ascii="Century Gothic" w:eastAsia="Calibri" w:hAnsi="Century Gothic"/>
                <w:sz w:val="18"/>
                <w:szCs w:val="18"/>
              </w:rPr>
              <w:t>.</w:t>
            </w:r>
          </w:p>
        </w:tc>
        <w:tc>
          <w:tcPr>
            <w:tcW w:w="1843" w:type="dxa"/>
            <w:vMerge/>
          </w:tcPr>
          <w:p w:rsidR="00492B97" w:rsidRPr="00123DFD" w:rsidRDefault="00492B97" w:rsidP="000017FF">
            <w:pPr>
              <w:jc w:val="center"/>
              <w:rPr>
                <w:b/>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316"/>
        </w:trPr>
        <w:tc>
          <w:tcPr>
            <w:tcW w:w="1101" w:type="dxa"/>
          </w:tcPr>
          <w:p w:rsidR="00492B97" w:rsidRPr="008C15CA" w:rsidRDefault="00492B97" w:rsidP="000017FF">
            <w:pPr>
              <w:jc w:val="center"/>
              <w:rPr>
                <w:rFonts w:ascii="Century Gothic" w:hAnsi="Century Gothic"/>
                <w:sz w:val="18"/>
                <w:szCs w:val="18"/>
              </w:rPr>
            </w:pPr>
            <w:r>
              <w:rPr>
                <w:rFonts w:ascii="Century Gothic" w:hAnsi="Century Gothic"/>
                <w:b/>
                <w:sz w:val="18"/>
                <w:szCs w:val="18"/>
              </w:rPr>
              <w:t>523090</w:t>
            </w:r>
          </w:p>
        </w:tc>
        <w:tc>
          <w:tcPr>
            <w:tcW w:w="1134" w:type="dxa"/>
          </w:tcPr>
          <w:p w:rsidR="00492B97" w:rsidRPr="00155071" w:rsidRDefault="00492B97" w:rsidP="000017FF">
            <w:pPr>
              <w:jc w:val="center"/>
              <w:rPr>
                <w:rFonts w:ascii="Century Gothic" w:hAnsi="Century Gothic"/>
                <w:b/>
                <w:sz w:val="18"/>
                <w:szCs w:val="18"/>
              </w:rPr>
            </w:pPr>
            <w:r w:rsidRPr="00155071">
              <w:rPr>
                <w:rFonts w:ascii="Century Gothic" w:hAnsi="Century Gothic"/>
                <w:b/>
                <w:sz w:val="18"/>
                <w:szCs w:val="18"/>
              </w:rPr>
              <w:t>523090</w:t>
            </w:r>
          </w:p>
        </w:tc>
        <w:tc>
          <w:tcPr>
            <w:tcW w:w="4394" w:type="dxa"/>
          </w:tcPr>
          <w:p w:rsidR="00492B97" w:rsidRPr="008C15CA" w:rsidRDefault="00492B97" w:rsidP="000017FF">
            <w:pPr>
              <w:autoSpaceDE w:val="0"/>
              <w:autoSpaceDN w:val="0"/>
              <w:adjustRightInd w:val="0"/>
              <w:rPr>
                <w:rFonts w:ascii="Century Gothic" w:hAnsi="Century Gothic"/>
                <w:sz w:val="18"/>
                <w:szCs w:val="18"/>
              </w:rPr>
            </w:pPr>
            <w:r>
              <w:rPr>
                <w:rFonts w:ascii="Century Gothic" w:hAnsi="Century Gothic"/>
                <w:sz w:val="18"/>
                <w:szCs w:val="18"/>
              </w:rPr>
              <w:t xml:space="preserve">Servicios de gestión y logística para el transporte de mercaderías </w:t>
            </w:r>
            <w:proofErr w:type="spellStart"/>
            <w:r>
              <w:rPr>
                <w:rFonts w:ascii="Century Gothic" w:hAnsi="Century Gothic"/>
                <w:sz w:val="18"/>
                <w:szCs w:val="18"/>
              </w:rPr>
              <w:t>n.c.p</w:t>
            </w:r>
            <w:proofErr w:type="spellEnd"/>
            <w:r>
              <w:rPr>
                <w:rFonts w:ascii="Century Gothic" w:hAnsi="Century Gothic"/>
                <w:sz w:val="18"/>
                <w:szCs w:val="18"/>
              </w:rPr>
              <w:t>.</w:t>
            </w:r>
          </w:p>
        </w:tc>
        <w:tc>
          <w:tcPr>
            <w:tcW w:w="1843" w:type="dxa"/>
            <w:vMerge/>
          </w:tcPr>
          <w:p w:rsidR="00492B97" w:rsidRPr="00123DFD" w:rsidRDefault="00492B97" w:rsidP="000017FF">
            <w:pPr>
              <w:jc w:val="center"/>
              <w:rPr>
                <w:b/>
                <w:sz w:val="20"/>
                <w:szCs w:val="20"/>
              </w:rPr>
            </w:pPr>
          </w:p>
        </w:tc>
        <w:tc>
          <w:tcPr>
            <w:tcW w:w="2835" w:type="dxa"/>
            <w:vMerge/>
          </w:tcPr>
          <w:p w:rsidR="00492B97" w:rsidRPr="00123DFD" w:rsidRDefault="00492B97" w:rsidP="000017FF">
            <w:pPr>
              <w:rPr>
                <w:sz w:val="20"/>
                <w:szCs w:val="20"/>
              </w:rPr>
            </w:pPr>
          </w:p>
        </w:tc>
      </w:tr>
      <w:tr w:rsidR="00492B97" w:rsidRPr="00123DFD" w:rsidTr="000017FF">
        <w:trPr>
          <w:trHeight w:val="540"/>
        </w:trPr>
        <w:tc>
          <w:tcPr>
            <w:tcW w:w="1101" w:type="dxa"/>
          </w:tcPr>
          <w:p w:rsidR="00492B97" w:rsidRPr="00DA6074" w:rsidRDefault="00492B97" w:rsidP="000017FF">
            <w:pPr>
              <w:jc w:val="center"/>
              <w:rPr>
                <w:rFonts w:ascii="Century Gothic" w:hAnsi="Century Gothic"/>
                <w:b/>
                <w:sz w:val="18"/>
                <w:szCs w:val="18"/>
              </w:rPr>
            </w:pPr>
            <w:r w:rsidRPr="00DA6074">
              <w:rPr>
                <w:rFonts w:ascii="Century Gothic" w:hAnsi="Century Gothic"/>
                <w:b/>
                <w:sz w:val="18"/>
                <w:szCs w:val="18"/>
              </w:rPr>
              <w:t>521010</w:t>
            </w: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521010</w:t>
            </w:r>
          </w:p>
        </w:tc>
        <w:tc>
          <w:tcPr>
            <w:tcW w:w="4394" w:type="dxa"/>
          </w:tcPr>
          <w:p w:rsidR="00492B97" w:rsidRPr="008C15CA" w:rsidRDefault="00492B97" w:rsidP="000017FF">
            <w:pPr>
              <w:rPr>
                <w:rFonts w:ascii="Century Gothic" w:hAnsi="Century Gothic"/>
                <w:sz w:val="18"/>
                <w:szCs w:val="18"/>
              </w:rPr>
            </w:pPr>
            <w:r>
              <w:rPr>
                <w:rFonts w:ascii="Century Gothic" w:hAnsi="Century Gothic"/>
                <w:sz w:val="18"/>
                <w:szCs w:val="18"/>
              </w:rPr>
              <w:t>Servicios de manipulación de cargas en el ámbito terrestre.</w:t>
            </w:r>
          </w:p>
        </w:tc>
        <w:tc>
          <w:tcPr>
            <w:tcW w:w="1843" w:type="dxa"/>
          </w:tcPr>
          <w:p w:rsidR="00492B97" w:rsidRDefault="00492B97" w:rsidP="000017FF">
            <w:pPr>
              <w:jc w:val="center"/>
              <w:rPr>
                <w:b/>
                <w:sz w:val="20"/>
                <w:szCs w:val="20"/>
              </w:rPr>
            </w:pPr>
          </w:p>
          <w:p w:rsidR="00492B97" w:rsidRPr="00123DFD" w:rsidRDefault="003439FB" w:rsidP="000017FF">
            <w:pPr>
              <w:jc w:val="center"/>
              <w:rPr>
                <w:b/>
                <w:sz w:val="20"/>
                <w:szCs w:val="20"/>
              </w:rPr>
            </w:pPr>
            <w:r>
              <w:rPr>
                <w:b/>
                <w:sz w:val="20"/>
                <w:szCs w:val="20"/>
              </w:rPr>
              <w:t>2</w:t>
            </w:r>
            <w:r w:rsidR="00492B97">
              <w:rPr>
                <w:b/>
                <w:sz w:val="20"/>
                <w:szCs w:val="20"/>
              </w:rPr>
              <w:t>%</w:t>
            </w:r>
          </w:p>
        </w:tc>
        <w:tc>
          <w:tcPr>
            <w:tcW w:w="2835" w:type="dxa"/>
            <w:vMerge/>
          </w:tcPr>
          <w:p w:rsidR="00492B97" w:rsidRPr="00155071" w:rsidRDefault="00492B97" w:rsidP="000017FF">
            <w:pPr>
              <w:rPr>
                <w:sz w:val="20"/>
                <w:szCs w:val="20"/>
                <w:lang w:val="es-AR"/>
              </w:rPr>
            </w:pPr>
          </w:p>
        </w:tc>
      </w:tr>
      <w:tr w:rsidR="003439FB" w:rsidRPr="00123DFD" w:rsidTr="000017FF">
        <w:trPr>
          <w:trHeight w:val="540"/>
        </w:trPr>
        <w:tc>
          <w:tcPr>
            <w:tcW w:w="1101" w:type="dxa"/>
          </w:tcPr>
          <w:p w:rsidR="003439FB" w:rsidRPr="00DA6074" w:rsidRDefault="003439FB" w:rsidP="000017FF">
            <w:pPr>
              <w:jc w:val="center"/>
              <w:rPr>
                <w:rFonts w:ascii="Century Gothic" w:hAnsi="Century Gothic"/>
                <w:b/>
                <w:sz w:val="18"/>
                <w:szCs w:val="18"/>
              </w:rPr>
            </w:pPr>
            <w:r w:rsidRPr="00DA6074">
              <w:rPr>
                <w:rFonts w:ascii="Century Gothic" w:hAnsi="Century Gothic"/>
                <w:b/>
                <w:sz w:val="18"/>
                <w:szCs w:val="18"/>
              </w:rPr>
              <w:t>522010</w:t>
            </w:r>
          </w:p>
        </w:tc>
        <w:tc>
          <w:tcPr>
            <w:tcW w:w="1134" w:type="dxa"/>
          </w:tcPr>
          <w:p w:rsidR="003439FB" w:rsidRPr="008C15CA" w:rsidRDefault="003439FB" w:rsidP="000017FF">
            <w:pPr>
              <w:jc w:val="center"/>
              <w:rPr>
                <w:rFonts w:ascii="Century Gothic" w:hAnsi="Century Gothic"/>
                <w:b/>
                <w:sz w:val="18"/>
                <w:szCs w:val="18"/>
              </w:rPr>
            </w:pPr>
            <w:r>
              <w:rPr>
                <w:rFonts w:ascii="Century Gothic" w:hAnsi="Century Gothic"/>
                <w:b/>
                <w:sz w:val="18"/>
                <w:szCs w:val="18"/>
              </w:rPr>
              <w:t>522010</w:t>
            </w:r>
          </w:p>
        </w:tc>
        <w:tc>
          <w:tcPr>
            <w:tcW w:w="4394" w:type="dxa"/>
          </w:tcPr>
          <w:p w:rsidR="003439FB" w:rsidRPr="008C15CA" w:rsidRDefault="003439FB" w:rsidP="000017FF">
            <w:pPr>
              <w:rPr>
                <w:rFonts w:ascii="Century Gothic" w:hAnsi="Century Gothic"/>
                <w:sz w:val="18"/>
                <w:szCs w:val="18"/>
              </w:rPr>
            </w:pPr>
            <w:r>
              <w:rPr>
                <w:rFonts w:ascii="Century Gothic" w:hAnsi="Century Gothic"/>
                <w:sz w:val="18"/>
                <w:szCs w:val="18"/>
              </w:rPr>
              <w:t>Servicio de almacenamiento y depósitos en silos</w:t>
            </w:r>
          </w:p>
        </w:tc>
        <w:tc>
          <w:tcPr>
            <w:tcW w:w="1843" w:type="dxa"/>
            <w:vMerge w:val="restart"/>
          </w:tcPr>
          <w:p w:rsidR="003439FB" w:rsidRDefault="003439FB" w:rsidP="003439FB">
            <w:pPr>
              <w:rPr>
                <w:b/>
                <w:sz w:val="20"/>
                <w:szCs w:val="20"/>
              </w:rPr>
            </w:pPr>
          </w:p>
          <w:p w:rsidR="003439FB" w:rsidRDefault="003439FB" w:rsidP="003439FB">
            <w:pPr>
              <w:rPr>
                <w:b/>
                <w:sz w:val="20"/>
                <w:szCs w:val="20"/>
              </w:rPr>
            </w:pPr>
          </w:p>
          <w:p w:rsidR="003439FB" w:rsidRPr="00123DFD" w:rsidRDefault="003439FB" w:rsidP="003439FB">
            <w:pPr>
              <w:jc w:val="center"/>
              <w:rPr>
                <w:b/>
                <w:sz w:val="20"/>
                <w:szCs w:val="20"/>
              </w:rPr>
            </w:pPr>
            <w:r>
              <w:rPr>
                <w:b/>
                <w:sz w:val="20"/>
                <w:szCs w:val="20"/>
              </w:rPr>
              <w:t>0,5%</w:t>
            </w:r>
          </w:p>
        </w:tc>
        <w:tc>
          <w:tcPr>
            <w:tcW w:w="2835" w:type="dxa"/>
            <w:vMerge/>
          </w:tcPr>
          <w:p w:rsidR="003439FB" w:rsidRPr="00DA6074" w:rsidRDefault="003439FB" w:rsidP="000017FF">
            <w:pPr>
              <w:rPr>
                <w:sz w:val="20"/>
                <w:szCs w:val="20"/>
                <w:lang w:val="es-AR"/>
              </w:rPr>
            </w:pPr>
          </w:p>
        </w:tc>
      </w:tr>
      <w:tr w:rsidR="003439FB" w:rsidRPr="00123DFD" w:rsidTr="000017FF">
        <w:trPr>
          <w:trHeight w:val="540"/>
        </w:trPr>
        <w:tc>
          <w:tcPr>
            <w:tcW w:w="1101" w:type="dxa"/>
          </w:tcPr>
          <w:p w:rsidR="003439FB" w:rsidRPr="00DA6074" w:rsidRDefault="003439FB" w:rsidP="000017FF">
            <w:pPr>
              <w:jc w:val="center"/>
              <w:rPr>
                <w:rFonts w:ascii="Century Gothic" w:hAnsi="Century Gothic"/>
                <w:b/>
                <w:sz w:val="18"/>
                <w:szCs w:val="18"/>
              </w:rPr>
            </w:pPr>
            <w:r w:rsidRPr="00DA6074">
              <w:rPr>
                <w:rFonts w:ascii="Century Gothic" w:hAnsi="Century Gothic"/>
                <w:b/>
                <w:sz w:val="18"/>
                <w:szCs w:val="18"/>
              </w:rPr>
              <w:t>522020</w:t>
            </w:r>
          </w:p>
        </w:tc>
        <w:tc>
          <w:tcPr>
            <w:tcW w:w="1134" w:type="dxa"/>
          </w:tcPr>
          <w:p w:rsidR="003439FB" w:rsidRPr="008C15CA" w:rsidRDefault="003439FB" w:rsidP="000017FF">
            <w:pPr>
              <w:jc w:val="center"/>
              <w:rPr>
                <w:rFonts w:ascii="Century Gothic" w:hAnsi="Century Gothic"/>
                <w:b/>
                <w:sz w:val="18"/>
                <w:szCs w:val="18"/>
              </w:rPr>
            </w:pPr>
            <w:r>
              <w:rPr>
                <w:rFonts w:ascii="Century Gothic" w:hAnsi="Century Gothic"/>
                <w:b/>
                <w:sz w:val="18"/>
                <w:szCs w:val="18"/>
              </w:rPr>
              <w:t>522020</w:t>
            </w:r>
          </w:p>
        </w:tc>
        <w:tc>
          <w:tcPr>
            <w:tcW w:w="4394" w:type="dxa"/>
          </w:tcPr>
          <w:p w:rsidR="003439FB" w:rsidRPr="008C15CA" w:rsidRDefault="003439FB" w:rsidP="000017FF">
            <w:pPr>
              <w:rPr>
                <w:rFonts w:ascii="Century Gothic" w:hAnsi="Century Gothic"/>
                <w:sz w:val="18"/>
                <w:szCs w:val="18"/>
              </w:rPr>
            </w:pPr>
            <w:r>
              <w:rPr>
                <w:rFonts w:ascii="Century Gothic" w:hAnsi="Century Gothic"/>
                <w:sz w:val="18"/>
                <w:szCs w:val="18"/>
              </w:rPr>
              <w:t>Servicio de almacenamiento y depósitos en cámaras frigoríficas.</w:t>
            </w:r>
          </w:p>
        </w:tc>
        <w:tc>
          <w:tcPr>
            <w:tcW w:w="1843" w:type="dxa"/>
            <w:vMerge/>
          </w:tcPr>
          <w:p w:rsidR="003439FB" w:rsidRPr="00123DFD" w:rsidRDefault="003439FB" w:rsidP="000017FF">
            <w:pPr>
              <w:jc w:val="center"/>
              <w:rPr>
                <w:b/>
                <w:sz w:val="20"/>
                <w:szCs w:val="20"/>
              </w:rPr>
            </w:pPr>
          </w:p>
        </w:tc>
        <w:tc>
          <w:tcPr>
            <w:tcW w:w="2835" w:type="dxa"/>
            <w:vMerge/>
          </w:tcPr>
          <w:p w:rsidR="003439FB" w:rsidRPr="00123DFD" w:rsidRDefault="003439FB" w:rsidP="000017FF">
            <w:pPr>
              <w:rPr>
                <w:sz w:val="20"/>
                <w:szCs w:val="20"/>
              </w:rPr>
            </w:pPr>
          </w:p>
        </w:tc>
      </w:tr>
      <w:tr w:rsidR="000540E0" w:rsidRPr="00123DFD" w:rsidTr="000017FF">
        <w:trPr>
          <w:trHeight w:val="386"/>
        </w:trPr>
        <w:tc>
          <w:tcPr>
            <w:tcW w:w="1101" w:type="dxa"/>
          </w:tcPr>
          <w:p w:rsidR="000540E0" w:rsidRPr="00DA6074" w:rsidRDefault="000540E0" w:rsidP="000017FF">
            <w:pPr>
              <w:jc w:val="center"/>
              <w:rPr>
                <w:rFonts w:ascii="Century Gothic" w:hAnsi="Century Gothic"/>
                <w:b/>
                <w:sz w:val="18"/>
                <w:szCs w:val="18"/>
              </w:rPr>
            </w:pPr>
            <w:r>
              <w:rPr>
                <w:rFonts w:ascii="Century Gothic" w:hAnsi="Century Gothic"/>
                <w:b/>
                <w:sz w:val="18"/>
                <w:szCs w:val="18"/>
              </w:rPr>
              <w:t>522091</w:t>
            </w:r>
          </w:p>
        </w:tc>
        <w:tc>
          <w:tcPr>
            <w:tcW w:w="1134" w:type="dxa"/>
          </w:tcPr>
          <w:p w:rsidR="000540E0" w:rsidRDefault="000540E0" w:rsidP="000017FF">
            <w:pPr>
              <w:jc w:val="center"/>
              <w:rPr>
                <w:rFonts w:ascii="Century Gothic" w:hAnsi="Century Gothic"/>
                <w:b/>
                <w:sz w:val="18"/>
                <w:szCs w:val="18"/>
              </w:rPr>
            </w:pPr>
            <w:r>
              <w:rPr>
                <w:rFonts w:ascii="Century Gothic" w:hAnsi="Century Gothic"/>
                <w:b/>
                <w:sz w:val="18"/>
                <w:szCs w:val="18"/>
              </w:rPr>
              <w:t>522091</w:t>
            </w:r>
          </w:p>
        </w:tc>
        <w:tc>
          <w:tcPr>
            <w:tcW w:w="4394" w:type="dxa"/>
          </w:tcPr>
          <w:p w:rsidR="000540E0" w:rsidRDefault="000540E0" w:rsidP="000017FF">
            <w:pPr>
              <w:rPr>
                <w:rFonts w:ascii="Century Gothic" w:hAnsi="Century Gothic"/>
                <w:sz w:val="18"/>
                <w:szCs w:val="18"/>
              </w:rPr>
            </w:pPr>
            <w:r>
              <w:rPr>
                <w:rFonts w:ascii="Century Gothic" w:hAnsi="Century Gothic"/>
                <w:sz w:val="18"/>
                <w:szCs w:val="18"/>
              </w:rPr>
              <w:t>Servicios de usuarios directos de zona franca.</w:t>
            </w:r>
          </w:p>
        </w:tc>
        <w:tc>
          <w:tcPr>
            <w:tcW w:w="1843" w:type="dxa"/>
            <w:vMerge w:val="restart"/>
          </w:tcPr>
          <w:p w:rsidR="000540E0" w:rsidRDefault="000540E0" w:rsidP="000017FF">
            <w:pPr>
              <w:jc w:val="center"/>
              <w:rPr>
                <w:b/>
                <w:sz w:val="20"/>
                <w:szCs w:val="20"/>
              </w:rPr>
            </w:pPr>
          </w:p>
          <w:p w:rsidR="000540E0" w:rsidRDefault="000540E0" w:rsidP="000017FF">
            <w:pPr>
              <w:jc w:val="center"/>
              <w:rPr>
                <w:b/>
                <w:sz w:val="20"/>
                <w:szCs w:val="20"/>
              </w:rPr>
            </w:pPr>
          </w:p>
          <w:p w:rsidR="000540E0" w:rsidRDefault="000540E0" w:rsidP="000017FF">
            <w:pPr>
              <w:jc w:val="center"/>
              <w:rPr>
                <w:b/>
                <w:sz w:val="20"/>
                <w:szCs w:val="20"/>
              </w:rPr>
            </w:pPr>
          </w:p>
          <w:p w:rsidR="000540E0" w:rsidRDefault="000540E0" w:rsidP="000017FF">
            <w:pPr>
              <w:jc w:val="center"/>
              <w:rPr>
                <w:b/>
                <w:sz w:val="20"/>
                <w:szCs w:val="20"/>
              </w:rPr>
            </w:pPr>
          </w:p>
          <w:p w:rsidR="000540E0" w:rsidRDefault="000540E0" w:rsidP="000017FF">
            <w:pPr>
              <w:jc w:val="center"/>
              <w:rPr>
                <w:b/>
                <w:sz w:val="20"/>
                <w:szCs w:val="20"/>
              </w:rPr>
            </w:pPr>
          </w:p>
          <w:p w:rsidR="000540E0" w:rsidRPr="00123DFD" w:rsidRDefault="000540E0" w:rsidP="000017FF">
            <w:pPr>
              <w:jc w:val="center"/>
              <w:rPr>
                <w:b/>
                <w:sz w:val="20"/>
                <w:szCs w:val="20"/>
              </w:rPr>
            </w:pPr>
            <w:r>
              <w:rPr>
                <w:b/>
                <w:sz w:val="20"/>
                <w:szCs w:val="20"/>
              </w:rPr>
              <w:t>5%</w:t>
            </w:r>
          </w:p>
        </w:tc>
        <w:tc>
          <w:tcPr>
            <w:tcW w:w="2835" w:type="dxa"/>
            <w:vMerge/>
          </w:tcPr>
          <w:p w:rsidR="000540E0" w:rsidRPr="00DA6074" w:rsidRDefault="000540E0" w:rsidP="000017FF">
            <w:pPr>
              <w:rPr>
                <w:sz w:val="20"/>
                <w:szCs w:val="20"/>
                <w:lang w:val="es-AR"/>
              </w:rPr>
            </w:pPr>
          </w:p>
        </w:tc>
      </w:tr>
      <w:tr w:rsidR="000540E0" w:rsidRPr="00123DFD" w:rsidTr="000017FF">
        <w:trPr>
          <w:trHeight w:val="386"/>
        </w:trPr>
        <w:tc>
          <w:tcPr>
            <w:tcW w:w="1101" w:type="dxa"/>
          </w:tcPr>
          <w:p w:rsidR="000540E0" w:rsidRPr="00DA6074" w:rsidRDefault="000540E0" w:rsidP="000017FF">
            <w:pPr>
              <w:jc w:val="center"/>
              <w:rPr>
                <w:rFonts w:ascii="Century Gothic" w:hAnsi="Century Gothic"/>
                <w:b/>
                <w:sz w:val="18"/>
                <w:szCs w:val="18"/>
              </w:rPr>
            </w:pPr>
            <w:r w:rsidRPr="00DA6074">
              <w:rPr>
                <w:rFonts w:ascii="Century Gothic" w:hAnsi="Century Gothic"/>
                <w:b/>
                <w:sz w:val="18"/>
                <w:szCs w:val="18"/>
              </w:rPr>
              <w:t>522092</w:t>
            </w:r>
          </w:p>
        </w:tc>
        <w:tc>
          <w:tcPr>
            <w:tcW w:w="1134" w:type="dxa"/>
          </w:tcPr>
          <w:p w:rsidR="000540E0" w:rsidRPr="008C15CA" w:rsidRDefault="000540E0" w:rsidP="000017FF">
            <w:pPr>
              <w:jc w:val="center"/>
              <w:rPr>
                <w:rFonts w:ascii="Century Gothic" w:hAnsi="Century Gothic"/>
                <w:b/>
                <w:sz w:val="18"/>
                <w:szCs w:val="18"/>
              </w:rPr>
            </w:pPr>
            <w:r>
              <w:rPr>
                <w:rFonts w:ascii="Century Gothic" w:hAnsi="Century Gothic"/>
                <w:b/>
                <w:sz w:val="18"/>
                <w:szCs w:val="18"/>
              </w:rPr>
              <w:t>522092</w:t>
            </w:r>
          </w:p>
        </w:tc>
        <w:tc>
          <w:tcPr>
            <w:tcW w:w="4394" w:type="dxa"/>
          </w:tcPr>
          <w:p w:rsidR="000540E0" w:rsidRPr="008C15CA" w:rsidRDefault="000540E0" w:rsidP="000017FF">
            <w:pPr>
              <w:rPr>
                <w:rFonts w:ascii="Century Gothic" w:hAnsi="Century Gothic"/>
                <w:sz w:val="18"/>
                <w:szCs w:val="18"/>
              </w:rPr>
            </w:pPr>
            <w:r>
              <w:rPr>
                <w:rFonts w:ascii="Century Gothic" w:hAnsi="Century Gothic"/>
                <w:sz w:val="18"/>
                <w:szCs w:val="18"/>
              </w:rPr>
              <w:t>Servicio de gestión de depósitos fiscales.</w:t>
            </w:r>
          </w:p>
        </w:tc>
        <w:tc>
          <w:tcPr>
            <w:tcW w:w="1843" w:type="dxa"/>
            <w:vMerge/>
          </w:tcPr>
          <w:p w:rsidR="000540E0" w:rsidRPr="00123DFD" w:rsidRDefault="000540E0" w:rsidP="000017FF">
            <w:pPr>
              <w:jc w:val="center"/>
              <w:rPr>
                <w:b/>
                <w:sz w:val="20"/>
                <w:szCs w:val="20"/>
              </w:rPr>
            </w:pPr>
          </w:p>
        </w:tc>
        <w:tc>
          <w:tcPr>
            <w:tcW w:w="2835" w:type="dxa"/>
            <w:vMerge/>
          </w:tcPr>
          <w:p w:rsidR="000540E0" w:rsidRPr="00DA6074" w:rsidRDefault="000540E0" w:rsidP="000017FF">
            <w:pPr>
              <w:rPr>
                <w:sz w:val="20"/>
                <w:szCs w:val="20"/>
                <w:lang w:val="es-AR"/>
              </w:rPr>
            </w:pPr>
          </w:p>
        </w:tc>
      </w:tr>
      <w:tr w:rsidR="000540E0" w:rsidRPr="00123DFD" w:rsidTr="000017FF">
        <w:trPr>
          <w:trHeight w:val="419"/>
        </w:trPr>
        <w:tc>
          <w:tcPr>
            <w:tcW w:w="1101" w:type="dxa"/>
          </w:tcPr>
          <w:p w:rsidR="000540E0" w:rsidRPr="00DA6074" w:rsidRDefault="000540E0" w:rsidP="000017FF">
            <w:pPr>
              <w:jc w:val="center"/>
              <w:rPr>
                <w:rFonts w:ascii="Century Gothic" w:hAnsi="Century Gothic"/>
                <w:b/>
                <w:sz w:val="18"/>
                <w:szCs w:val="18"/>
              </w:rPr>
            </w:pPr>
            <w:r w:rsidRPr="00DA6074">
              <w:rPr>
                <w:rFonts w:ascii="Century Gothic" w:hAnsi="Century Gothic"/>
                <w:b/>
                <w:sz w:val="18"/>
                <w:szCs w:val="18"/>
              </w:rPr>
              <w:t>522099</w:t>
            </w:r>
          </w:p>
        </w:tc>
        <w:tc>
          <w:tcPr>
            <w:tcW w:w="1134" w:type="dxa"/>
          </w:tcPr>
          <w:p w:rsidR="000540E0" w:rsidRPr="008C15CA" w:rsidRDefault="000540E0" w:rsidP="000017FF">
            <w:pPr>
              <w:jc w:val="center"/>
              <w:rPr>
                <w:rFonts w:ascii="Century Gothic" w:hAnsi="Century Gothic"/>
                <w:b/>
                <w:sz w:val="18"/>
                <w:szCs w:val="18"/>
              </w:rPr>
            </w:pPr>
            <w:r>
              <w:rPr>
                <w:rFonts w:ascii="Century Gothic" w:hAnsi="Century Gothic"/>
                <w:b/>
                <w:sz w:val="18"/>
                <w:szCs w:val="18"/>
              </w:rPr>
              <w:t>522099</w:t>
            </w:r>
          </w:p>
        </w:tc>
        <w:tc>
          <w:tcPr>
            <w:tcW w:w="4394" w:type="dxa"/>
          </w:tcPr>
          <w:p w:rsidR="000540E0" w:rsidRPr="008C15CA" w:rsidRDefault="000540E0" w:rsidP="000017FF">
            <w:pPr>
              <w:rPr>
                <w:rFonts w:ascii="Century Gothic" w:hAnsi="Century Gothic"/>
                <w:sz w:val="18"/>
                <w:szCs w:val="18"/>
              </w:rPr>
            </w:pPr>
            <w:r>
              <w:rPr>
                <w:rFonts w:ascii="Century Gothic" w:hAnsi="Century Gothic"/>
                <w:sz w:val="18"/>
                <w:szCs w:val="18"/>
              </w:rPr>
              <w:t xml:space="preserve">Servicio de almacenamiento y depósitos </w:t>
            </w:r>
            <w:proofErr w:type="spellStart"/>
            <w:r>
              <w:rPr>
                <w:rFonts w:ascii="Century Gothic" w:hAnsi="Century Gothic"/>
                <w:sz w:val="18"/>
                <w:szCs w:val="18"/>
              </w:rPr>
              <w:t>n.c.p</w:t>
            </w:r>
            <w:proofErr w:type="spellEnd"/>
            <w:r>
              <w:rPr>
                <w:rFonts w:ascii="Century Gothic" w:hAnsi="Century Gothic"/>
                <w:sz w:val="18"/>
                <w:szCs w:val="18"/>
              </w:rPr>
              <w:t>.</w:t>
            </w:r>
          </w:p>
        </w:tc>
        <w:tc>
          <w:tcPr>
            <w:tcW w:w="1843" w:type="dxa"/>
            <w:vMerge/>
          </w:tcPr>
          <w:p w:rsidR="000540E0" w:rsidRPr="00123DFD" w:rsidRDefault="000540E0" w:rsidP="000017FF">
            <w:pPr>
              <w:jc w:val="center"/>
              <w:rPr>
                <w:b/>
                <w:sz w:val="20"/>
                <w:szCs w:val="20"/>
              </w:rPr>
            </w:pPr>
          </w:p>
        </w:tc>
        <w:tc>
          <w:tcPr>
            <w:tcW w:w="2835" w:type="dxa"/>
            <w:vMerge/>
          </w:tcPr>
          <w:p w:rsidR="000540E0" w:rsidRPr="00DA6074" w:rsidRDefault="000540E0" w:rsidP="000017FF">
            <w:pPr>
              <w:rPr>
                <w:sz w:val="20"/>
                <w:szCs w:val="20"/>
                <w:lang w:val="es-AR"/>
              </w:rPr>
            </w:pPr>
          </w:p>
        </w:tc>
      </w:tr>
      <w:tr w:rsidR="000540E0" w:rsidRPr="00797B4C" w:rsidTr="000017FF">
        <w:trPr>
          <w:trHeight w:val="330"/>
        </w:trPr>
        <w:tc>
          <w:tcPr>
            <w:tcW w:w="1101" w:type="dxa"/>
          </w:tcPr>
          <w:p w:rsidR="000540E0" w:rsidRPr="008C15CA" w:rsidRDefault="000540E0" w:rsidP="000017FF">
            <w:pPr>
              <w:jc w:val="center"/>
              <w:rPr>
                <w:rFonts w:ascii="Century Gothic" w:hAnsi="Century Gothic"/>
                <w:b/>
                <w:sz w:val="18"/>
                <w:szCs w:val="18"/>
              </w:rPr>
            </w:pPr>
            <w:r>
              <w:rPr>
                <w:rFonts w:ascii="Century Gothic" w:hAnsi="Century Gothic"/>
                <w:b/>
                <w:sz w:val="18"/>
                <w:szCs w:val="18"/>
              </w:rPr>
              <w:t>530010</w:t>
            </w:r>
          </w:p>
          <w:p w:rsidR="000540E0" w:rsidRPr="008C15CA" w:rsidRDefault="000540E0" w:rsidP="000017FF">
            <w:pPr>
              <w:jc w:val="center"/>
              <w:rPr>
                <w:rFonts w:ascii="Century Gothic" w:hAnsi="Century Gothic"/>
                <w:b/>
                <w:sz w:val="18"/>
                <w:szCs w:val="18"/>
              </w:rPr>
            </w:pPr>
          </w:p>
        </w:tc>
        <w:tc>
          <w:tcPr>
            <w:tcW w:w="1134" w:type="dxa"/>
          </w:tcPr>
          <w:p w:rsidR="000540E0" w:rsidRPr="008C15CA" w:rsidRDefault="000540E0" w:rsidP="000017FF">
            <w:pPr>
              <w:jc w:val="center"/>
              <w:rPr>
                <w:rFonts w:ascii="Century Gothic" w:hAnsi="Century Gothic"/>
                <w:b/>
                <w:sz w:val="18"/>
                <w:szCs w:val="18"/>
              </w:rPr>
            </w:pPr>
            <w:r>
              <w:rPr>
                <w:rFonts w:ascii="Century Gothic" w:hAnsi="Century Gothic"/>
                <w:b/>
                <w:sz w:val="18"/>
                <w:szCs w:val="18"/>
              </w:rPr>
              <w:t>530010</w:t>
            </w:r>
          </w:p>
        </w:tc>
        <w:tc>
          <w:tcPr>
            <w:tcW w:w="4394" w:type="dxa"/>
          </w:tcPr>
          <w:p w:rsidR="000540E0" w:rsidRPr="008C15CA" w:rsidRDefault="000540E0" w:rsidP="000017FF">
            <w:pPr>
              <w:rPr>
                <w:rFonts w:ascii="Century Gothic" w:hAnsi="Century Gothic"/>
                <w:sz w:val="18"/>
                <w:szCs w:val="18"/>
              </w:rPr>
            </w:pPr>
            <w:r w:rsidRPr="008C15CA">
              <w:rPr>
                <w:rFonts w:ascii="Century Gothic" w:eastAsia="Calibri" w:hAnsi="Century Gothic"/>
                <w:sz w:val="18"/>
                <w:szCs w:val="18"/>
              </w:rPr>
              <w:t>Servicios de correos</w:t>
            </w:r>
            <w:r w:rsidRPr="008C15CA">
              <w:rPr>
                <w:rFonts w:ascii="Century Gothic" w:hAnsi="Century Gothic"/>
                <w:sz w:val="18"/>
                <w:szCs w:val="18"/>
              </w:rPr>
              <w:t>.</w:t>
            </w:r>
          </w:p>
          <w:p w:rsidR="000540E0" w:rsidRPr="008C15CA" w:rsidRDefault="000540E0" w:rsidP="000017FF">
            <w:pPr>
              <w:rPr>
                <w:rFonts w:ascii="Century Gothic" w:hAnsi="Century Gothic"/>
                <w:sz w:val="18"/>
                <w:szCs w:val="18"/>
              </w:rPr>
            </w:pPr>
          </w:p>
        </w:tc>
        <w:tc>
          <w:tcPr>
            <w:tcW w:w="1843" w:type="dxa"/>
            <w:vMerge/>
          </w:tcPr>
          <w:p w:rsidR="000540E0" w:rsidRPr="00123DFD" w:rsidRDefault="000540E0" w:rsidP="000017FF">
            <w:pPr>
              <w:jc w:val="center"/>
              <w:rPr>
                <w:sz w:val="20"/>
                <w:szCs w:val="20"/>
              </w:rPr>
            </w:pPr>
          </w:p>
        </w:tc>
        <w:tc>
          <w:tcPr>
            <w:tcW w:w="2835" w:type="dxa"/>
            <w:vMerge/>
          </w:tcPr>
          <w:p w:rsidR="000540E0" w:rsidRPr="005C44F7" w:rsidRDefault="000540E0" w:rsidP="000017FF">
            <w:pPr>
              <w:rPr>
                <w:sz w:val="20"/>
                <w:szCs w:val="20"/>
                <w:lang w:val="en-US"/>
              </w:rPr>
            </w:pPr>
          </w:p>
        </w:tc>
      </w:tr>
      <w:tr w:rsidR="000540E0" w:rsidRPr="005C44F7" w:rsidTr="000017FF">
        <w:trPr>
          <w:trHeight w:val="281"/>
        </w:trPr>
        <w:tc>
          <w:tcPr>
            <w:tcW w:w="1101" w:type="dxa"/>
          </w:tcPr>
          <w:p w:rsidR="000540E0" w:rsidRPr="008C15CA" w:rsidRDefault="000540E0" w:rsidP="000017FF">
            <w:pPr>
              <w:jc w:val="center"/>
              <w:rPr>
                <w:rFonts w:ascii="Century Gothic" w:hAnsi="Century Gothic"/>
                <w:b/>
                <w:sz w:val="18"/>
                <w:szCs w:val="18"/>
              </w:rPr>
            </w:pPr>
            <w:r>
              <w:rPr>
                <w:rFonts w:ascii="Century Gothic" w:hAnsi="Century Gothic"/>
                <w:b/>
                <w:sz w:val="18"/>
                <w:szCs w:val="18"/>
              </w:rPr>
              <w:t>530090</w:t>
            </w:r>
          </w:p>
        </w:tc>
        <w:tc>
          <w:tcPr>
            <w:tcW w:w="1134" w:type="dxa"/>
          </w:tcPr>
          <w:p w:rsidR="000540E0" w:rsidRPr="00FD604D" w:rsidRDefault="000540E0" w:rsidP="000017FF">
            <w:pPr>
              <w:jc w:val="center"/>
              <w:rPr>
                <w:rFonts w:ascii="Century Gothic" w:hAnsi="Century Gothic"/>
                <w:b/>
                <w:sz w:val="18"/>
                <w:szCs w:val="18"/>
              </w:rPr>
            </w:pPr>
            <w:r w:rsidRPr="00FD604D">
              <w:rPr>
                <w:rFonts w:ascii="Century Gothic" w:hAnsi="Century Gothic"/>
                <w:b/>
                <w:sz w:val="18"/>
                <w:szCs w:val="18"/>
              </w:rPr>
              <w:t>530090</w:t>
            </w:r>
          </w:p>
        </w:tc>
        <w:tc>
          <w:tcPr>
            <w:tcW w:w="4394" w:type="dxa"/>
          </w:tcPr>
          <w:p w:rsidR="000540E0" w:rsidRPr="008C15CA" w:rsidRDefault="000540E0" w:rsidP="000017FF">
            <w:pPr>
              <w:rPr>
                <w:rFonts w:ascii="Century Gothic" w:eastAsia="Calibri" w:hAnsi="Century Gothic"/>
                <w:sz w:val="18"/>
                <w:szCs w:val="18"/>
              </w:rPr>
            </w:pPr>
            <w:r>
              <w:rPr>
                <w:rFonts w:ascii="Century Gothic" w:eastAsia="Calibri" w:hAnsi="Century Gothic"/>
                <w:sz w:val="18"/>
                <w:szCs w:val="18"/>
              </w:rPr>
              <w:t>Servicio de mensajerías.</w:t>
            </w:r>
          </w:p>
        </w:tc>
        <w:tc>
          <w:tcPr>
            <w:tcW w:w="1843" w:type="dxa"/>
            <w:vMerge/>
          </w:tcPr>
          <w:p w:rsidR="000540E0" w:rsidRPr="00717343" w:rsidRDefault="000540E0" w:rsidP="000017FF">
            <w:pPr>
              <w:rPr>
                <w:sz w:val="20"/>
                <w:szCs w:val="20"/>
                <w:lang w:val="en-US"/>
              </w:rPr>
            </w:pPr>
          </w:p>
        </w:tc>
        <w:tc>
          <w:tcPr>
            <w:tcW w:w="2835" w:type="dxa"/>
            <w:vMerge/>
          </w:tcPr>
          <w:p w:rsidR="000540E0" w:rsidRPr="00232E6D" w:rsidRDefault="000540E0" w:rsidP="000017FF">
            <w:pPr>
              <w:rPr>
                <w:sz w:val="20"/>
                <w:szCs w:val="20"/>
                <w:lang w:val="en-US"/>
              </w:rPr>
            </w:pPr>
          </w:p>
        </w:tc>
      </w:tr>
      <w:tr w:rsidR="003439FB" w:rsidRPr="00123DFD" w:rsidTr="000017FF">
        <w:trPr>
          <w:trHeight w:val="549"/>
        </w:trPr>
        <w:tc>
          <w:tcPr>
            <w:tcW w:w="1101" w:type="dxa"/>
          </w:tcPr>
          <w:p w:rsidR="003439FB" w:rsidRPr="008C15CA" w:rsidRDefault="003439FB" w:rsidP="000017FF">
            <w:pPr>
              <w:jc w:val="center"/>
              <w:rPr>
                <w:rFonts w:ascii="Century Gothic" w:hAnsi="Century Gothic"/>
                <w:b/>
                <w:sz w:val="18"/>
                <w:szCs w:val="18"/>
              </w:rPr>
            </w:pPr>
            <w:r>
              <w:rPr>
                <w:rFonts w:ascii="Century Gothic" w:hAnsi="Century Gothic"/>
                <w:b/>
                <w:sz w:val="18"/>
                <w:szCs w:val="18"/>
              </w:rPr>
              <w:t>801010</w:t>
            </w:r>
          </w:p>
          <w:p w:rsidR="003439FB" w:rsidRPr="008C15CA" w:rsidRDefault="003439FB" w:rsidP="000017FF">
            <w:pPr>
              <w:jc w:val="center"/>
              <w:rPr>
                <w:rFonts w:ascii="Century Gothic" w:hAnsi="Century Gothic"/>
                <w:b/>
                <w:sz w:val="18"/>
                <w:szCs w:val="18"/>
              </w:rPr>
            </w:pPr>
          </w:p>
          <w:p w:rsidR="003439FB" w:rsidRPr="008C15CA" w:rsidRDefault="003439FB" w:rsidP="000017FF">
            <w:pPr>
              <w:jc w:val="center"/>
              <w:rPr>
                <w:rFonts w:ascii="Century Gothic" w:hAnsi="Century Gothic"/>
                <w:b/>
                <w:sz w:val="18"/>
                <w:szCs w:val="18"/>
              </w:rPr>
            </w:pPr>
          </w:p>
        </w:tc>
        <w:tc>
          <w:tcPr>
            <w:tcW w:w="1134" w:type="dxa"/>
          </w:tcPr>
          <w:p w:rsidR="003439FB" w:rsidRPr="008C15CA" w:rsidRDefault="003439FB" w:rsidP="000017FF">
            <w:pPr>
              <w:jc w:val="center"/>
              <w:rPr>
                <w:rFonts w:ascii="Century Gothic" w:hAnsi="Century Gothic"/>
                <w:b/>
                <w:sz w:val="18"/>
                <w:szCs w:val="18"/>
              </w:rPr>
            </w:pPr>
            <w:r>
              <w:rPr>
                <w:rFonts w:ascii="Century Gothic" w:hAnsi="Century Gothic"/>
                <w:b/>
                <w:sz w:val="18"/>
                <w:szCs w:val="18"/>
              </w:rPr>
              <w:t>801010</w:t>
            </w:r>
          </w:p>
        </w:tc>
        <w:tc>
          <w:tcPr>
            <w:tcW w:w="4394" w:type="dxa"/>
          </w:tcPr>
          <w:p w:rsidR="003439FB" w:rsidRPr="008C15CA" w:rsidRDefault="003439FB" w:rsidP="000017FF">
            <w:pPr>
              <w:rPr>
                <w:rFonts w:ascii="Century Gothic" w:hAnsi="Century Gothic"/>
                <w:b/>
                <w:sz w:val="18"/>
                <w:szCs w:val="18"/>
              </w:rPr>
            </w:pPr>
            <w:r w:rsidRPr="008C15CA">
              <w:rPr>
                <w:rFonts w:ascii="Century Gothic" w:eastAsia="Calibri" w:hAnsi="Century Gothic"/>
                <w:sz w:val="18"/>
                <w:szCs w:val="18"/>
              </w:rPr>
              <w:t>Servicios de transporte de caudales y objetos de valor.</w:t>
            </w:r>
          </w:p>
        </w:tc>
        <w:tc>
          <w:tcPr>
            <w:tcW w:w="1843" w:type="dxa"/>
          </w:tcPr>
          <w:p w:rsidR="003439FB" w:rsidRDefault="003439FB" w:rsidP="000017FF">
            <w:pPr>
              <w:jc w:val="center"/>
              <w:rPr>
                <w:b/>
                <w:sz w:val="20"/>
                <w:szCs w:val="20"/>
              </w:rPr>
            </w:pPr>
          </w:p>
          <w:p w:rsidR="000540E0" w:rsidRPr="00123DFD" w:rsidRDefault="000540E0" w:rsidP="000017FF">
            <w:pPr>
              <w:jc w:val="center"/>
              <w:rPr>
                <w:b/>
                <w:sz w:val="20"/>
                <w:szCs w:val="20"/>
              </w:rPr>
            </w:pPr>
            <w:r>
              <w:rPr>
                <w:b/>
                <w:sz w:val="20"/>
                <w:szCs w:val="20"/>
              </w:rPr>
              <w:t>2%</w:t>
            </w:r>
          </w:p>
        </w:tc>
        <w:tc>
          <w:tcPr>
            <w:tcW w:w="2835" w:type="dxa"/>
            <w:vMerge/>
          </w:tcPr>
          <w:p w:rsidR="003439FB" w:rsidRPr="00123DFD" w:rsidRDefault="003439FB" w:rsidP="000017FF">
            <w:pPr>
              <w:rPr>
                <w:sz w:val="20"/>
                <w:szCs w:val="20"/>
              </w:rPr>
            </w:pPr>
          </w:p>
        </w:tc>
      </w:tr>
      <w:tr w:rsidR="00492B97" w:rsidRPr="00112874" w:rsidTr="003439FB">
        <w:trPr>
          <w:trHeight w:val="551"/>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381100</w:t>
            </w:r>
          </w:p>
          <w:p w:rsidR="00492B97" w:rsidRPr="008C15CA" w:rsidRDefault="00492B97" w:rsidP="000017FF">
            <w:pPr>
              <w:jc w:val="center"/>
              <w:rPr>
                <w:rFonts w:ascii="Century Gothic" w:hAnsi="Century Gothic"/>
                <w:b/>
                <w:sz w:val="18"/>
                <w:szCs w:val="18"/>
              </w:rPr>
            </w:pPr>
          </w:p>
        </w:tc>
        <w:tc>
          <w:tcPr>
            <w:tcW w:w="1134"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381100</w:t>
            </w:r>
          </w:p>
          <w:p w:rsidR="00492B97" w:rsidRPr="008C15CA" w:rsidRDefault="00492B97" w:rsidP="000017FF">
            <w:pPr>
              <w:jc w:val="center"/>
              <w:rPr>
                <w:rFonts w:ascii="Century Gothic" w:hAnsi="Century Gothic"/>
                <w:b/>
                <w:sz w:val="18"/>
                <w:szCs w:val="18"/>
              </w:rPr>
            </w:pPr>
          </w:p>
        </w:tc>
        <w:tc>
          <w:tcPr>
            <w:tcW w:w="4394" w:type="dxa"/>
          </w:tcPr>
          <w:p w:rsidR="00492B97" w:rsidRPr="008C15CA" w:rsidRDefault="00492B97" w:rsidP="000017FF">
            <w:pPr>
              <w:rPr>
                <w:rFonts w:ascii="Century Gothic" w:hAnsi="Century Gothic"/>
                <w:b/>
                <w:sz w:val="18"/>
                <w:szCs w:val="18"/>
              </w:rPr>
            </w:pPr>
            <w:r w:rsidRPr="008C15CA">
              <w:rPr>
                <w:rFonts w:ascii="Century Gothic" w:eastAsia="Calibri" w:hAnsi="Century Gothic"/>
                <w:sz w:val="18"/>
                <w:szCs w:val="18"/>
              </w:rPr>
              <w:t xml:space="preserve">Recolección, </w:t>
            </w:r>
            <w:r>
              <w:rPr>
                <w:rFonts w:ascii="Century Gothic" w:eastAsia="Calibri" w:hAnsi="Century Gothic"/>
                <w:sz w:val="18"/>
                <w:szCs w:val="18"/>
              </w:rPr>
              <w:t>transporte, tratamiento y disposición final de residuos no peligrosos</w:t>
            </w:r>
          </w:p>
        </w:tc>
        <w:tc>
          <w:tcPr>
            <w:tcW w:w="1843" w:type="dxa"/>
          </w:tcPr>
          <w:p w:rsidR="00492B97" w:rsidRPr="003439FB" w:rsidRDefault="003439FB" w:rsidP="003439FB">
            <w:pPr>
              <w:jc w:val="center"/>
              <w:rPr>
                <w:b/>
                <w:sz w:val="20"/>
                <w:szCs w:val="20"/>
              </w:rPr>
            </w:pPr>
            <w:r w:rsidRPr="003439FB">
              <w:rPr>
                <w:b/>
                <w:sz w:val="20"/>
                <w:szCs w:val="20"/>
              </w:rPr>
              <w:t>4,75%</w:t>
            </w:r>
          </w:p>
        </w:tc>
        <w:tc>
          <w:tcPr>
            <w:tcW w:w="2835" w:type="dxa"/>
            <w:vMerge/>
          </w:tcPr>
          <w:p w:rsidR="00492B97" w:rsidRPr="00112874" w:rsidRDefault="00492B97" w:rsidP="000017FF">
            <w:pPr>
              <w:rPr>
                <w:sz w:val="20"/>
                <w:szCs w:val="20"/>
                <w:lang w:val="es-AR"/>
              </w:rPr>
            </w:pPr>
          </w:p>
        </w:tc>
      </w:tr>
      <w:tr w:rsidR="00492B97" w:rsidRPr="00123DFD" w:rsidTr="00112874">
        <w:trPr>
          <w:trHeight w:val="416"/>
        </w:trPr>
        <w:tc>
          <w:tcPr>
            <w:tcW w:w="1101" w:type="dxa"/>
          </w:tcPr>
          <w:p w:rsidR="00492B97" w:rsidRPr="008C15CA" w:rsidRDefault="00492B97" w:rsidP="000017FF">
            <w:pPr>
              <w:jc w:val="center"/>
              <w:rPr>
                <w:rFonts w:ascii="Century Gothic" w:hAnsi="Century Gothic"/>
                <w:b/>
                <w:sz w:val="18"/>
                <w:szCs w:val="18"/>
              </w:rPr>
            </w:pPr>
            <w:r>
              <w:rPr>
                <w:rFonts w:ascii="Century Gothic" w:hAnsi="Century Gothic"/>
                <w:b/>
                <w:sz w:val="18"/>
                <w:szCs w:val="18"/>
              </w:rPr>
              <w:t>381200</w:t>
            </w:r>
          </w:p>
        </w:tc>
        <w:tc>
          <w:tcPr>
            <w:tcW w:w="1134" w:type="dxa"/>
          </w:tcPr>
          <w:p w:rsidR="00492B97" w:rsidRPr="00C712F5" w:rsidRDefault="00492B97" w:rsidP="000017FF">
            <w:pPr>
              <w:jc w:val="center"/>
              <w:rPr>
                <w:rFonts w:ascii="Century Gothic" w:hAnsi="Century Gothic"/>
                <w:b/>
                <w:sz w:val="18"/>
                <w:szCs w:val="18"/>
              </w:rPr>
            </w:pPr>
            <w:r>
              <w:rPr>
                <w:rFonts w:ascii="Century Gothic" w:hAnsi="Century Gothic"/>
                <w:b/>
                <w:sz w:val="18"/>
                <w:szCs w:val="18"/>
              </w:rPr>
              <w:t>381200</w:t>
            </w:r>
          </w:p>
        </w:tc>
        <w:tc>
          <w:tcPr>
            <w:tcW w:w="4394" w:type="dxa"/>
          </w:tcPr>
          <w:p w:rsidR="00492B97" w:rsidRPr="008C15CA" w:rsidRDefault="00492B97" w:rsidP="000017FF">
            <w:pPr>
              <w:rPr>
                <w:rFonts w:ascii="Century Gothic" w:hAnsi="Century Gothic"/>
                <w:sz w:val="18"/>
                <w:szCs w:val="18"/>
              </w:rPr>
            </w:pPr>
            <w:r w:rsidRPr="008C15CA">
              <w:rPr>
                <w:rFonts w:ascii="Century Gothic" w:eastAsia="Calibri" w:hAnsi="Century Gothic"/>
                <w:sz w:val="18"/>
                <w:szCs w:val="18"/>
              </w:rPr>
              <w:t xml:space="preserve">Recolección, </w:t>
            </w:r>
            <w:r>
              <w:rPr>
                <w:rFonts w:ascii="Century Gothic" w:eastAsia="Calibri" w:hAnsi="Century Gothic"/>
                <w:sz w:val="18"/>
                <w:szCs w:val="18"/>
              </w:rPr>
              <w:t>transporte, tratamiento y disposición final de residuos peligrosos</w:t>
            </w:r>
          </w:p>
        </w:tc>
        <w:tc>
          <w:tcPr>
            <w:tcW w:w="1843" w:type="dxa"/>
          </w:tcPr>
          <w:p w:rsidR="00492B97" w:rsidRPr="003439FB" w:rsidRDefault="003439FB" w:rsidP="000017FF">
            <w:pPr>
              <w:jc w:val="center"/>
              <w:rPr>
                <w:b/>
                <w:sz w:val="20"/>
                <w:szCs w:val="20"/>
              </w:rPr>
            </w:pPr>
            <w:r w:rsidRPr="003439FB">
              <w:rPr>
                <w:b/>
                <w:sz w:val="20"/>
                <w:szCs w:val="20"/>
              </w:rPr>
              <w:t>5%</w:t>
            </w:r>
          </w:p>
        </w:tc>
        <w:tc>
          <w:tcPr>
            <w:tcW w:w="2835" w:type="dxa"/>
            <w:vMerge/>
          </w:tcPr>
          <w:p w:rsidR="00492B97" w:rsidRPr="00123DFD" w:rsidRDefault="00492B97" w:rsidP="000017FF">
            <w:pPr>
              <w:rPr>
                <w:sz w:val="20"/>
                <w:szCs w:val="20"/>
              </w:rPr>
            </w:pPr>
          </w:p>
        </w:tc>
      </w:tr>
    </w:tbl>
    <w:p w:rsidR="00797B4C" w:rsidRDefault="00797B4C" w:rsidP="00797B4C">
      <w:pPr>
        <w:autoSpaceDE w:val="0"/>
        <w:autoSpaceDN w:val="0"/>
        <w:adjustRightInd w:val="0"/>
        <w:jc w:val="both"/>
        <w:rPr>
          <w:rFonts w:ascii="Century Gothic" w:hAnsi="Century Gothic" w:cs="ArialMT"/>
          <w:sz w:val="20"/>
          <w:szCs w:val="20"/>
        </w:rPr>
      </w:pPr>
    </w:p>
    <w:p w:rsidR="00797B4C" w:rsidRDefault="00797B4C" w:rsidP="00797B4C">
      <w:pPr>
        <w:autoSpaceDE w:val="0"/>
        <w:autoSpaceDN w:val="0"/>
        <w:adjustRightInd w:val="0"/>
        <w:jc w:val="both"/>
        <w:rPr>
          <w:rFonts w:ascii="Century Gothic" w:hAnsi="Century Gothic" w:cs="ArialMT"/>
          <w:sz w:val="20"/>
          <w:szCs w:val="20"/>
        </w:rPr>
      </w:pPr>
    </w:p>
    <w:p w:rsidR="0042489C" w:rsidRDefault="0042489C" w:rsidP="00797B4C">
      <w:pPr>
        <w:autoSpaceDE w:val="0"/>
        <w:autoSpaceDN w:val="0"/>
        <w:adjustRightInd w:val="0"/>
        <w:jc w:val="both"/>
        <w:rPr>
          <w:rFonts w:ascii="Century Gothic" w:hAnsi="Century Gothic" w:cs="ArialMT"/>
          <w:sz w:val="20"/>
          <w:szCs w:val="20"/>
        </w:rPr>
      </w:pPr>
    </w:p>
    <w:p w:rsidR="0042489C" w:rsidRDefault="0042489C" w:rsidP="00797B4C">
      <w:pPr>
        <w:autoSpaceDE w:val="0"/>
        <w:autoSpaceDN w:val="0"/>
        <w:adjustRightInd w:val="0"/>
        <w:jc w:val="both"/>
        <w:rPr>
          <w:rFonts w:ascii="Century Gothic" w:hAnsi="Century Gothic" w:cs="ArialMT"/>
          <w:sz w:val="20"/>
          <w:szCs w:val="20"/>
        </w:rPr>
      </w:pPr>
    </w:p>
    <w:p w:rsidR="0042489C" w:rsidRDefault="0042489C" w:rsidP="00797B4C">
      <w:pPr>
        <w:autoSpaceDE w:val="0"/>
        <w:autoSpaceDN w:val="0"/>
        <w:adjustRightInd w:val="0"/>
        <w:jc w:val="both"/>
        <w:rPr>
          <w:rFonts w:ascii="Century Gothic" w:hAnsi="Century Gothic" w:cs="ArialMT"/>
          <w:sz w:val="20"/>
          <w:szCs w:val="20"/>
        </w:rPr>
      </w:pPr>
    </w:p>
    <w:p w:rsidR="0042489C" w:rsidRDefault="0042489C" w:rsidP="00797B4C">
      <w:pPr>
        <w:autoSpaceDE w:val="0"/>
        <w:autoSpaceDN w:val="0"/>
        <w:adjustRightInd w:val="0"/>
        <w:jc w:val="both"/>
        <w:rPr>
          <w:rFonts w:ascii="Century Gothic" w:hAnsi="Century Gothic" w:cs="ArialMT"/>
          <w:sz w:val="20"/>
          <w:szCs w:val="20"/>
        </w:rPr>
      </w:pPr>
    </w:p>
    <w:p w:rsidR="0042489C" w:rsidRDefault="0042489C" w:rsidP="00797B4C">
      <w:pPr>
        <w:autoSpaceDE w:val="0"/>
        <w:autoSpaceDN w:val="0"/>
        <w:adjustRightInd w:val="0"/>
        <w:jc w:val="both"/>
        <w:rPr>
          <w:rFonts w:ascii="Century Gothic" w:hAnsi="Century Gothic" w:cs="ArialMT"/>
          <w:sz w:val="20"/>
          <w:szCs w:val="20"/>
        </w:rPr>
      </w:pPr>
    </w:p>
    <w:p w:rsidR="00913EB4" w:rsidRPr="00913EB4" w:rsidRDefault="00913EB4" w:rsidP="00913EB4">
      <w:pPr>
        <w:spacing w:before="240" w:after="100"/>
        <w:ind w:left="105" w:right="105"/>
        <w:jc w:val="center"/>
        <w:rPr>
          <w:rFonts w:ascii="Verdana" w:hAnsi="Verdana"/>
          <w:b/>
          <w:bCs/>
          <w:color w:val="000000"/>
          <w:sz w:val="16"/>
          <w:szCs w:val="16"/>
          <w:lang w:val="es-AR" w:eastAsia="es-AR"/>
        </w:rPr>
      </w:pPr>
      <w:r w:rsidRPr="00913EB4">
        <w:rPr>
          <w:rFonts w:ascii="Verdana" w:hAnsi="Verdana"/>
          <w:b/>
          <w:bCs/>
          <w:color w:val="000000"/>
          <w:sz w:val="16"/>
          <w:szCs w:val="16"/>
          <w:lang w:val="es-AR" w:eastAsia="es-AR"/>
        </w:rPr>
        <w:t>Incentivos y bonificaciones</w:t>
      </w:r>
    </w:p>
    <w:p w:rsidR="00913EB4" w:rsidRPr="00913EB4" w:rsidRDefault="00913EB4" w:rsidP="00913EB4">
      <w:pPr>
        <w:spacing w:before="240" w:after="100"/>
        <w:ind w:left="105" w:right="105"/>
        <w:jc w:val="center"/>
        <w:rPr>
          <w:rFonts w:ascii="Verdana" w:hAnsi="Verdana"/>
          <w:b/>
          <w:bCs/>
          <w:color w:val="000000"/>
          <w:sz w:val="16"/>
          <w:szCs w:val="16"/>
          <w:lang w:val="es-AR" w:eastAsia="es-AR"/>
        </w:rPr>
      </w:pPr>
      <w:r w:rsidRPr="00913EB4">
        <w:rPr>
          <w:rFonts w:ascii="Verdana" w:hAnsi="Verdana"/>
          <w:b/>
          <w:bCs/>
          <w:color w:val="000000"/>
          <w:sz w:val="16"/>
          <w:szCs w:val="16"/>
          <w:lang w:val="es-AR" w:eastAsia="es-AR"/>
        </w:rPr>
        <w:t>Capítulo I</w:t>
      </w:r>
    </w:p>
    <w:p w:rsidR="00913EB4" w:rsidRPr="00913EB4" w:rsidRDefault="00913EB4" w:rsidP="00913EB4">
      <w:pPr>
        <w:spacing w:before="240" w:after="100"/>
        <w:ind w:left="105" w:right="105"/>
        <w:jc w:val="center"/>
        <w:rPr>
          <w:rFonts w:ascii="Verdana" w:hAnsi="Verdana"/>
          <w:b/>
          <w:bCs/>
          <w:color w:val="000000"/>
          <w:sz w:val="16"/>
          <w:szCs w:val="16"/>
          <w:lang w:val="es-AR" w:eastAsia="es-AR"/>
        </w:rPr>
      </w:pPr>
      <w:r w:rsidRPr="00913EB4">
        <w:rPr>
          <w:rFonts w:ascii="Verdana" w:hAnsi="Verdana"/>
          <w:b/>
          <w:bCs/>
          <w:color w:val="000000"/>
          <w:sz w:val="16"/>
          <w:szCs w:val="16"/>
          <w:lang w:val="es-AR" w:eastAsia="es-AR"/>
        </w:rPr>
        <w:t>Incentivo por cumplimiento. Bonificación del impuesto sobre los ingresos brutos</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b/>
          <w:bCs/>
          <w:color w:val="000000"/>
          <w:sz w:val="16"/>
          <w:szCs w:val="16"/>
          <w:lang w:val="es-AR" w:eastAsia="es-AR"/>
        </w:rPr>
        <w:t>Art. 42 -</w:t>
      </w:r>
      <w:r w:rsidRPr="00913EB4">
        <w:rPr>
          <w:rFonts w:ascii="Verdana" w:hAnsi="Verdana"/>
          <w:color w:val="000000"/>
          <w:sz w:val="16"/>
          <w:szCs w:val="16"/>
          <w:lang w:val="es-AR" w:eastAsia="es-AR"/>
        </w:rPr>
        <w:t> </w:t>
      </w:r>
      <w:proofErr w:type="spellStart"/>
      <w:r w:rsidRPr="00913EB4">
        <w:rPr>
          <w:rFonts w:ascii="Verdana" w:hAnsi="Verdana"/>
          <w:color w:val="000000"/>
          <w:sz w:val="16"/>
          <w:szCs w:val="16"/>
          <w:lang w:val="es-AR" w:eastAsia="es-AR"/>
        </w:rPr>
        <w:t>Fíjase</w:t>
      </w:r>
      <w:proofErr w:type="spellEnd"/>
      <w:r w:rsidRPr="00913EB4">
        <w:rPr>
          <w:rFonts w:ascii="Verdana" w:hAnsi="Verdana"/>
          <w:color w:val="000000"/>
          <w:sz w:val="16"/>
          <w:szCs w:val="16"/>
          <w:lang w:val="es-AR" w:eastAsia="es-AR"/>
        </w:rPr>
        <w:t xml:space="preserve"> un incentivo por cumplimiento fiscal a partir del 1 de enero de 2019, para aquellos contribuyentes y/o responsables del impuesto sobre los ingresos brutos régimen directo o de Convenio Multilateral que se encuadren como MIPYMES de acuerdo a lo establecido en la ley 25300 y su reglamentación, y lo que al respecto establezca la Agencia de Recaudación Tributaria mediante la reglamentación de la presente ley.</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b/>
          <w:bCs/>
          <w:color w:val="000000"/>
          <w:sz w:val="16"/>
          <w:szCs w:val="16"/>
          <w:lang w:val="es-AR" w:eastAsia="es-AR"/>
        </w:rPr>
        <w:t>Art. 43 -</w:t>
      </w:r>
      <w:r w:rsidRPr="00913EB4">
        <w:rPr>
          <w:rFonts w:ascii="Verdana" w:hAnsi="Verdana"/>
          <w:color w:val="000000"/>
          <w:sz w:val="16"/>
          <w:szCs w:val="16"/>
          <w:lang w:val="es-AR" w:eastAsia="es-AR"/>
        </w:rPr>
        <w:t> Los sujetos mencionados en el artículo anterior que posean completos y actualizados los datos identificatorios y/o referenciales y todo otro dato que la Agencia de Recaudación Tributaria de la Provincia de Río Negro establezca mediante la reglamentación para gozar del incentivo por cumplimiento fiscal, que tengan pagada y presentada en tiempo y forma la DDJJ del anticipo inmediato anterior al que se pretende bonificar y que todas las posiciones y/o anticipos correspondientes a los últimos 5 años calendario y las del año en curso se encuentren presentadas y pagadas o regularizadas a la fecha de vencimiento del anticipo al que se pretende bonificar, gozarán de la siguiente bonificación sobre el impuesto determinado por cada anticipo mensual:</w:t>
      </w:r>
    </w:p>
    <w:p w:rsidR="00913EB4" w:rsidRPr="00913EB4" w:rsidRDefault="00913EB4" w:rsidP="00913EB4">
      <w:pPr>
        <w:spacing w:before="80"/>
        <w:ind w:left="270" w:right="105"/>
        <w:jc w:val="both"/>
        <w:rPr>
          <w:rFonts w:ascii="Verdana" w:hAnsi="Verdana"/>
          <w:color w:val="000000"/>
          <w:sz w:val="16"/>
          <w:szCs w:val="16"/>
          <w:lang w:val="es-AR" w:eastAsia="es-AR"/>
        </w:rPr>
      </w:pPr>
      <w:r w:rsidRPr="00913EB4">
        <w:rPr>
          <w:rFonts w:ascii="Verdana" w:hAnsi="Verdana"/>
          <w:color w:val="000000"/>
          <w:sz w:val="16"/>
          <w:szCs w:val="16"/>
          <w:lang w:val="es-AR" w:eastAsia="es-AR"/>
        </w:rPr>
        <w:t>1. Del treinta por ciento (30%), para las actividades alcanzadas con una alícuota mayor al 4%, en el período fiscal en curso.</w:t>
      </w:r>
    </w:p>
    <w:p w:rsidR="00913EB4" w:rsidRPr="00913EB4" w:rsidRDefault="00913EB4" w:rsidP="00913EB4">
      <w:pPr>
        <w:spacing w:before="80"/>
        <w:ind w:left="270" w:right="105"/>
        <w:jc w:val="both"/>
        <w:rPr>
          <w:rFonts w:ascii="Verdana" w:hAnsi="Verdana"/>
          <w:color w:val="000000"/>
          <w:sz w:val="16"/>
          <w:szCs w:val="16"/>
          <w:lang w:val="es-AR" w:eastAsia="es-AR"/>
        </w:rPr>
      </w:pPr>
      <w:r w:rsidRPr="00913EB4">
        <w:rPr>
          <w:rFonts w:ascii="Verdana" w:hAnsi="Verdana"/>
          <w:color w:val="000000"/>
          <w:sz w:val="16"/>
          <w:szCs w:val="16"/>
          <w:lang w:val="es-AR" w:eastAsia="es-AR"/>
        </w:rPr>
        <w:t>2. Del veinte por ciento (20%), para las actividades alcanzadas con una alícuota mayor al 3%, y menor o igual al 4%, en el período fiscal en curso.</w:t>
      </w:r>
    </w:p>
    <w:p w:rsidR="00913EB4" w:rsidRPr="00913EB4" w:rsidRDefault="00913EB4" w:rsidP="00913EB4">
      <w:pPr>
        <w:spacing w:before="80"/>
        <w:ind w:left="270" w:right="105"/>
        <w:jc w:val="both"/>
        <w:rPr>
          <w:rFonts w:ascii="Verdana" w:hAnsi="Verdana"/>
          <w:color w:val="000000"/>
          <w:sz w:val="16"/>
          <w:szCs w:val="16"/>
          <w:lang w:val="es-AR" w:eastAsia="es-AR"/>
        </w:rPr>
      </w:pPr>
      <w:r w:rsidRPr="00913EB4">
        <w:rPr>
          <w:rFonts w:ascii="Verdana" w:hAnsi="Verdana"/>
          <w:color w:val="000000"/>
          <w:sz w:val="16"/>
          <w:szCs w:val="16"/>
          <w:lang w:val="es-AR" w:eastAsia="es-AR"/>
        </w:rPr>
        <w:t>3. Del diez por ciento (10%), para las actividades alcanzadas con una alícuota menor o igual al 3%, en el período fiscal en curso.</w:t>
      </w:r>
    </w:p>
    <w:p w:rsidR="00913EB4" w:rsidRPr="00913EB4" w:rsidRDefault="00913EB4" w:rsidP="00913EB4">
      <w:pPr>
        <w:spacing w:before="80"/>
        <w:ind w:left="270" w:right="105"/>
        <w:jc w:val="both"/>
        <w:rPr>
          <w:rFonts w:ascii="Verdana" w:hAnsi="Verdana"/>
          <w:color w:val="000000"/>
          <w:sz w:val="16"/>
          <w:szCs w:val="16"/>
          <w:lang w:val="es-AR" w:eastAsia="es-AR"/>
        </w:rPr>
      </w:pPr>
      <w:r w:rsidRPr="00913EB4">
        <w:rPr>
          <w:rFonts w:ascii="Verdana" w:hAnsi="Verdana"/>
          <w:color w:val="000000"/>
          <w:sz w:val="16"/>
          <w:szCs w:val="16"/>
          <w:lang w:val="es-AR" w:eastAsia="es-AR"/>
        </w:rPr>
        <w:t>4. Del diez por ciento (10%) adicional, para todas las actividades desarrolladas en los parques industriales de la Provincia de Río Negro. En el caso de empresas de transporte corresponderá el mismo si posee la guarda de los vehículos en los mencionados parques.</w:t>
      </w:r>
    </w:p>
    <w:p w:rsidR="00913EB4" w:rsidRPr="00913EB4" w:rsidRDefault="00913EB4" w:rsidP="00913EB4">
      <w:pPr>
        <w:spacing w:before="80"/>
        <w:ind w:left="270" w:right="105"/>
        <w:jc w:val="both"/>
        <w:rPr>
          <w:rFonts w:ascii="Verdana" w:hAnsi="Verdana"/>
          <w:color w:val="000000"/>
          <w:sz w:val="16"/>
          <w:szCs w:val="16"/>
          <w:lang w:val="es-AR" w:eastAsia="es-AR"/>
        </w:rPr>
      </w:pPr>
      <w:r w:rsidRPr="00913EB4">
        <w:rPr>
          <w:rFonts w:ascii="Verdana" w:hAnsi="Verdana"/>
          <w:color w:val="000000"/>
          <w:sz w:val="16"/>
          <w:szCs w:val="16"/>
          <w:lang w:val="es-AR" w:eastAsia="es-AR"/>
        </w:rPr>
        <w:t>5. Del treinta por ciento (30%) para los contribuyentes incluidos en el Régimen Simplificado del impuesto sobre los ingresos brutos de la Provincia de Río Negro que adhieran al débito directo de cuenta bancaria o tarjeta de crédito o débito por los plazos que se establezcan en la reglamentación de la presente. Sin perjuicio de lo anterior, la Agencia de Recaudación Tributaria queda facultada a otorgar idénticos beneficios que por cumplimiento de pago establezca la Administración Federal de Ingresos Públicos.</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Las bonificaciones establecidas en el presente artículo, se mantendrán por anticipo pagado y presentado en tiempo y forma.</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Entiéndase como pagado y presentado en tiempo y forma, cuando el pago y la presentación de la DDJJ correspondiente de cada anticipo se efectúen hasta el día de su vencimiento, inclusive, mediante los mecanismos habilitados para tal fin por la ARTRN, cumplimentados en todo su contenido sin excepciones.</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b/>
          <w:bCs/>
          <w:color w:val="000000"/>
          <w:sz w:val="16"/>
          <w:szCs w:val="16"/>
          <w:lang w:val="es-AR" w:eastAsia="es-AR"/>
        </w:rPr>
        <w:t>Art. 44 -</w:t>
      </w:r>
      <w:r w:rsidRPr="00913EB4">
        <w:rPr>
          <w:rFonts w:ascii="Verdana" w:hAnsi="Verdana"/>
          <w:color w:val="000000"/>
          <w:sz w:val="16"/>
          <w:szCs w:val="16"/>
          <w:lang w:val="es-AR" w:eastAsia="es-AR"/>
        </w:rPr>
        <w:t> Cuando se detectare que el contribuyente y/o responsable hubiere omitido impuesto y/o base imponible, deberá pagar o regularizar la correspondiente diferencia de impuesto sin bonificación alguna, con más los accesorios establecidos por el artículo 122 del Código Fiscal (L. I-2686), en un plazo de diez (10) días hábiles a partir de su notificación, sin perjuicio de las sanciones que correspondan. Transcurrido dicho plazo sin que se verifique el pago o la regularización del importe adeudado, se producirá la caducidad del total de la bonificación correspondiente al anticipo a que correspondiera la diferencia detectada.</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Cuando en los procesos de fiscalización en curso, llevados a cabo por la Agencia de Recaudación Tributaria, deban caducarse los beneficios de bonificación previstos para los ejercicios fiscales 2003 a 2018 como consecuencia de la falta de pago o regularización de las diferencias detectadas en el impuesto o en la base imponible declarada por el contribuyente, dicha caducidad solo afectará al total de la bonificación correspondiente al anticipo a que correspondiera la diferencia detectada.</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La aplicación del beneficio otorgado en el párrafo anterior no dará derecho, en ningún caso, a repetición ni a reclamo alguno, por las sumas que se hubieren ingresado en concepto de bonificaciones caducas.</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En los supuestos que el contribuyente y/o responsable hubiere realizado una errónea aplicación de las bonificaciones, o descontado del impuesto determinado conceptos o importes improcedentes, aquel podrá ajustar las posiciones mensuales en cada uno de los anticipos y pagar y/o regularizar las diferencias detectadas sin bonificación alguna, con más los accesorios establecidos por el artículo 122 del Código Fiscal (L. I-2686) en un plazo de diez (10) días hábiles a partir de su notificación. De cancelarse y/o regularizarse las diferencias en el plazo fijado, mantendrá la bonificación por los montos pagados en término.</w:t>
      </w:r>
    </w:p>
    <w:p w:rsidR="00913EB4" w:rsidRP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Los beneficios citados en los párrafos anteriores también serán aplicables cuando el contribuyente regularice la deuda antes de su notificación.</w:t>
      </w:r>
    </w:p>
    <w:p w:rsidR="00913EB4" w:rsidRDefault="00913EB4" w:rsidP="00913EB4">
      <w:pPr>
        <w:spacing w:before="80"/>
        <w:ind w:left="105" w:right="105" w:firstLine="105"/>
        <w:jc w:val="both"/>
        <w:rPr>
          <w:rFonts w:ascii="Verdana" w:hAnsi="Verdana"/>
          <w:color w:val="000000"/>
          <w:sz w:val="16"/>
          <w:szCs w:val="16"/>
          <w:lang w:val="es-AR" w:eastAsia="es-AR"/>
        </w:rPr>
      </w:pPr>
      <w:r w:rsidRPr="00913EB4">
        <w:rPr>
          <w:rFonts w:ascii="Verdana" w:hAnsi="Verdana"/>
          <w:color w:val="000000"/>
          <w:sz w:val="16"/>
          <w:szCs w:val="16"/>
          <w:lang w:val="es-AR" w:eastAsia="es-AR"/>
        </w:rPr>
        <w:t>En caso de producirse la pérdida del beneficio, los importes pagados con anterioridad serán tomados como pagos a cuenta de la nueva obligación determinada.</w:t>
      </w:r>
    </w:p>
    <w:p w:rsidR="008961A4" w:rsidRDefault="008961A4" w:rsidP="00913EB4">
      <w:pPr>
        <w:spacing w:before="80"/>
        <w:ind w:left="105" w:right="105" w:firstLine="105"/>
        <w:jc w:val="both"/>
        <w:rPr>
          <w:rFonts w:ascii="Verdana" w:hAnsi="Verdana"/>
          <w:color w:val="000000"/>
          <w:sz w:val="16"/>
          <w:szCs w:val="16"/>
          <w:lang w:val="es-AR" w:eastAsia="es-AR"/>
        </w:rPr>
      </w:pPr>
    </w:p>
    <w:p w:rsidR="00674A97" w:rsidRDefault="00674A97" w:rsidP="00674A97">
      <w:pPr>
        <w:spacing w:before="80"/>
        <w:ind w:left="105" w:right="105" w:firstLine="105"/>
        <w:jc w:val="both"/>
        <w:rPr>
          <w:rFonts w:ascii="Verdana" w:hAnsi="Verdana"/>
          <w:b/>
          <w:bCs/>
          <w:color w:val="000000"/>
          <w:sz w:val="16"/>
          <w:szCs w:val="16"/>
          <w:lang w:val="es-AR" w:eastAsia="es-AR"/>
        </w:rPr>
      </w:pPr>
      <w:r>
        <w:rPr>
          <w:rFonts w:ascii="Verdana" w:hAnsi="Verdana"/>
          <w:b/>
          <w:bCs/>
          <w:color w:val="000000"/>
          <w:sz w:val="16"/>
          <w:szCs w:val="16"/>
          <w:lang w:val="es-AR" w:eastAsia="es-AR"/>
        </w:rPr>
        <w:t xml:space="preserve">Resolución (ART) </w:t>
      </w:r>
      <w:r w:rsidR="00250B9A">
        <w:rPr>
          <w:rFonts w:ascii="Verdana" w:hAnsi="Verdana"/>
          <w:b/>
          <w:bCs/>
          <w:color w:val="000000"/>
          <w:sz w:val="16"/>
          <w:szCs w:val="16"/>
          <w:lang w:val="es-AR" w:eastAsia="es-AR"/>
        </w:rPr>
        <w:t>105/19</w:t>
      </w:r>
    </w:p>
    <w:p w:rsidR="00674A97" w:rsidRDefault="00674A97" w:rsidP="00674A97">
      <w:pPr>
        <w:spacing w:before="80"/>
        <w:ind w:left="105" w:right="105" w:firstLine="105"/>
        <w:jc w:val="both"/>
        <w:rPr>
          <w:rFonts w:ascii="Verdana" w:hAnsi="Verdana"/>
          <w:b/>
          <w:bCs/>
          <w:color w:val="000000"/>
          <w:sz w:val="16"/>
          <w:szCs w:val="16"/>
          <w:lang w:val="es-AR" w:eastAsia="es-AR"/>
        </w:rPr>
      </w:pP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b/>
          <w:bCs/>
          <w:sz w:val="16"/>
          <w:szCs w:val="16"/>
          <w:lang w:val="es-AR" w:eastAsia="es-AR"/>
        </w:rPr>
        <w:t>“…Art. 5 - </w:t>
      </w:r>
      <w:r w:rsidRPr="00250B9A">
        <w:rPr>
          <w:rFonts w:ascii="Verdana" w:hAnsi="Verdana"/>
          <w:sz w:val="16"/>
          <w:szCs w:val="16"/>
          <w:lang w:val="es-AR" w:eastAsia="es-AR"/>
        </w:rPr>
        <w:t>Podrán gozar del incentivo por cumplimiento fiscal establecido en el </w:t>
      </w:r>
      <w:hyperlink r:id="rId5" w:anchor="ART_42" w:tgtFrame="_blank" w:history="1">
        <w:r w:rsidRPr="00250B9A">
          <w:rPr>
            <w:rFonts w:ascii="Verdana" w:hAnsi="Verdana"/>
            <w:sz w:val="16"/>
            <w:szCs w:val="16"/>
            <w:u w:val="single"/>
            <w:lang w:val="es-AR" w:eastAsia="es-AR"/>
          </w:rPr>
          <w:t>artículo 42 de la ley 5335</w:t>
        </w:r>
      </w:hyperlink>
      <w:r w:rsidRPr="00250B9A">
        <w:rPr>
          <w:rFonts w:ascii="Verdana" w:hAnsi="Verdana"/>
          <w:sz w:val="16"/>
          <w:szCs w:val="16"/>
          <w:lang w:val="es-AR" w:eastAsia="es-AR"/>
        </w:rPr>
        <w:t xml:space="preserve"> los contribuyentes y /o responsables del impuesto sobre los ingresos brutos Régimen Directo o Convenio Multilateral que se encuadren como </w:t>
      </w:r>
      <w:proofErr w:type="spellStart"/>
      <w:r w:rsidRPr="00250B9A">
        <w:rPr>
          <w:rFonts w:ascii="Verdana" w:hAnsi="Verdana"/>
          <w:sz w:val="16"/>
          <w:szCs w:val="16"/>
          <w:lang w:val="es-AR" w:eastAsia="es-AR"/>
        </w:rPr>
        <w:t>mipymes</w:t>
      </w:r>
      <w:proofErr w:type="spellEnd"/>
      <w:r w:rsidRPr="00250B9A">
        <w:rPr>
          <w:rFonts w:ascii="Verdana" w:hAnsi="Verdana"/>
          <w:sz w:val="16"/>
          <w:szCs w:val="16"/>
          <w:lang w:val="es-AR" w:eastAsia="es-AR"/>
        </w:rPr>
        <w:t xml:space="preserve"> de acuerdo a lo establecido por la </w:t>
      </w:r>
      <w:hyperlink r:id="rId6" w:tgtFrame="_blank" w:history="1">
        <w:r w:rsidRPr="00250B9A">
          <w:rPr>
            <w:rFonts w:ascii="Verdana" w:hAnsi="Verdana"/>
            <w:sz w:val="16"/>
            <w:szCs w:val="16"/>
            <w:u w:val="single"/>
            <w:lang w:val="es-AR" w:eastAsia="es-AR"/>
          </w:rPr>
          <w:t>ley nacional 25300</w:t>
        </w:r>
      </w:hyperlink>
      <w:r w:rsidRPr="00250B9A">
        <w:rPr>
          <w:rFonts w:ascii="Verdana" w:hAnsi="Verdana"/>
          <w:sz w:val="16"/>
          <w:szCs w:val="16"/>
          <w:lang w:val="es-AR" w:eastAsia="es-AR"/>
        </w:rPr>
        <w:t> y a los parámetros de facturación anual por actividad establecidos en su reglamentación.</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b/>
          <w:bCs/>
          <w:sz w:val="16"/>
          <w:szCs w:val="16"/>
          <w:lang w:val="es-AR" w:eastAsia="es-AR"/>
        </w:rPr>
        <w:t>Art. 6 - </w:t>
      </w:r>
      <w:r w:rsidRPr="00250B9A">
        <w:rPr>
          <w:rFonts w:ascii="Verdana" w:hAnsi="Verdana"/>
          <w:sz w:val="16"/>
          <w:szCs w:val="16"/>
          <w:lang w:val="es-AR" w:eastAsia="es-AR"/>
        </w:rPr>
        <w:t xml:space="preserve">A los efectos de determinar si una empresa es </w:t>
      </w:r>
      <w:proofErr w:type="spellStart"/>
      <w:r w:rsidRPr="00250B9A">
        <w:rPr>
          <w:rFonts w:ascii="Verdana" w:hAnsi="Verdana"/>
          <w:sz w:val="16"/>
          <w:szCs w:val="16"/>
          <w:lang w:val="es-AR" w:eastAsia="es-AR"/>
        </w:rPr>
        <w:t>mipyme</w:t>
      </w:r>
      <w:proofErr w:type="spellEnd"/>
      <w:r w:rsidRPr="00250B9A">
        <w:rPr>
          <w:rFonts w:ascii="Verdana" w:hAnsi="Verdana"/>
          <w:sz w:val="16"/>
          <w:szCs w:val="16"/>
          <w:lang w:val="es-AR" w:eastAsia="es-AR"/>
        </w:rPr>
        <w:t>, se adopta el criterio establecido por la </w:t>
      </w:r>
      <w:hyperlink r:id="rId7" w:tgtFrame="_blank" w:history="1">
        <w:r w:rsidRPr="00250B9A">
          <w:rPr>
            <w:rFonts w:ascii="Verdana" w:hAnsi="Verdana"/>
            <w:sz w:val="16"/>
            <w:szCs w:val="16"/>
            <w:u w:val="single"/>
            <w:lang w:val="es-AR" w:eastAsia="es-AR"/>
          </w:rPr>
          <w:t>ley nacional 25300</w:t>
        </w:r>
      </w:hyperlink>
      <w:r w:rsidRPr="00250B9A">
        <w:rPr>
          <w:rFonts w:ascii="Verdana" w:hAnsi="Verdana"/>
          <w:sz w:val="16"/>
          <w:szCs w:val="16"/>
          <w:lang w:val="es-AR" w:eastAsia="es-AR"/>
        </w:rPr>
        <w:t xml:space="preserve">, reglamentarias, y la inscripción en el Registro de Empresas </w:t>
      </w:r>
      <w:proofErr w:type="spellStart"/>
      <w:r w:rsidRPr="00250B9A">
        <w:rPr>
          <w:rFonts w:ascii="Verdana" w:hAnsi="Verdana"/>
          <w:sz w:val="16"/>
          <w:szCs w:val="16"/>
          <w:lang w:val="es-AR" w:eastAsia="es-AR"/>
        </w:rPr>
        <w:t>mipymes</w:t>
      </w:r>
      <w:proofErr w:type="spellEnd"/>
      <w:r w:rsidRPr="00250B9A">
        <w:rPr>
          <w:rFonts w:ascii="Verdana" w:hAnsi="Verdana"/>
          <w:sz w:val="16"/>
          <w:szCs w:val="16"/>
          <w:lang w:val="es-AR" w:eastAsia="es-AR"/>
        </w:rPr>
        <w:t xml:space="preserve"> creado por la </w:t>
      </w:r>
      <w:hyperlink r:id="rId8" w:tgtFrame="_blank" w:history="1">
        <w:r w:rsidRPr="00250B9A">
          <w:rPr>
            <w:rFonts w:ascii="Verdana" w:hAnsi="Verdana"/>
            <w:sz w:val="16"/>
            <w:szCs w:val="16"/>
            <w:u w:val="single"/>
            <w:lang w:val="es-AR" w:eastAsia="es-AR"/>
          </w:rPr>
          <w:t>resolución (</w:t>
        </w:r>
        <w:proofErr w:type="spellStart"/>
        <w:r w:rsidRPr="00250B9A">
          <w:rPr>
            <w:rFonts w:ascii="Verdana" w:hAnsi="Verdana"/>
            <w:sz w:val="16"/>
            <w:szCs w:val="16"/>
            <w:u w:val="single"/>
            <w:lang w:val="es-AR" w:eastAsia="es-AR"/>
          </w:rPr>
          <w:t>SEyPyME</w:t>
        </w:r>
        <w:proofErr w:type="spellEnd"/>
        <w:r w:rsidRPr="00250B9A">
          <w:rPr>
            <w:rFonts w:ascii="Verdana" w:hAnsi="Verdana"/>
            <w:sz w:val="16"/>
            <w:szCs w:val="16"/>
            <w:u w:val="single"/>
            <w:lang w:val="es-AR" w:eastAsia="es-AR"/>
          </w:rPr>
          <w:t>) 38/2017</w:t>
        </w:r>
      </w:hyperlink>
      <w:r w:rsidRPr="00250B9A">
        <w:rPr>
          <w:rFonts w:ascii="Verdana" w:hAnsi="Verdana"/>
          <w:sz w:val="16"/>
          <w:szCs w:val="16"/>
          <w:lang w:val="es-AR" w:eastAsia="es-AR"/>
        </w:rPr>
        <w:t>.</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sz w:val="16"/>
          <w:szCs w:val="16"/>
          <w:lang w:val="es-AR" w:eastAsia="es-AR"/>
        </w:rPr>
        <w:t xml:space="preserve">Cuando la Secretaría de Emprendedores y de la Pequeña y Mediana Empresa proceda a la baja de una firma del Registro de Empresas </w:t>
      </w:r>
      <w:proofErr w:type="spellStart"/>
      <w:r w:rsidRPr="00250B9A">
        <w:rPr>
          <w:rFonts w:ascii="Verdana" w:hAnsi="Verdana"/>
          <w:sz w:val="16"/>
          <w:szCs w:val="16"/>
          <w:lang w:val="es-AR" w:eastAsia="es-AR"/>
        </w:rPr>
        <w:t>MiPyMES</w:t>
      </w:r>
      <w:proofErr w:type="spellEnd"/>
      <w:r w:rsidRPr="00250B9A">
        <w:rPr>
          <w:rFonts w:ascii="Verdana" w:hAnsi="Verdana"/>
          <w:sz w:val="16"/>
          <w:szCs w:val="16"/>
          <w:lang w:val="es-AR" w:eastAsia="es-AR"/>
        </w:rPr>
        <w:t>, la Agencia de Recaudación Tributaria actuará de oficio dando la baja de la firma de sus registros, con la consiguiente pérdida de los beneficios que pudieran haberse otorgado.</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sz w:val="16"/>
          <w:szCs w:val="16"/>
          <w:lang w:val="es-AR" w:eastAsia="es-AR"/>
        </w:rPr>
        <w:t xml:space="preserve">De no mediar inscripción formal en el Registro de Empresas </w:t>
      </w:r>
      <w:proofErr w:type="spellStart"/>
      <w:r w:rsidRPr="00250B9A">
        <w:rPr>
          <w:rFonts w:ascii="Verdana" w:hAnsi="Verdana"/>
          <w:sz w:val="16"/>
          <w:szCs w:val="16"/>
          <w:lang w:val="es-AR" w:eastAsia="es-AR"/>
        </w:rPr>
        <w:t>MiPyMES</w:t>
      </w:r>
      <w:proofErr w:type="spellEnd"/>
      <w:r w:rsidRPr="00250B9A">
        <w:rPr>
          <w:rFonts w:ascii="Verdana" w:hAnsi="Verdana"/>
          <w:sz w:val="16"/>
          <w:szCs w:val="16"/>
          <w:lang w:val="es-AR" w:eastAsia="es-AR"/>
        </w:rPr>
        <w:t>, entiéndase por valor de ventas totales anuales al monto de las ventas que surja del promedio de los últimos tres (3) años fiscales, según la información brindada por la empresa mediante declaración jurada del impuesto sobre los ingresos brutos. Se excluirá del cálculo el monto del impuesto al valor agregado y el/</w:t>
      </w:r>
      <w:proofErr w:type="gramStart"/>
      <w:r w:rsidRPr="00250B9A">
        <w:rPr>
          <w:rFonts w:ascii="Verdana" w:hAnsi="Verdana"/>
          <w:sz w:val="16"/>
          <w:szCs w:val="16"/>
          <w:lang w:val="es-AR" w:eastAsia="es-AR"/>
        </w:rPr>
        <w:t>los impuesto</w:t>
      </w:r>
      <w:proofErr w:type="gramEnd"/>
      <w:r w:rsidRPr="00250B9A">
        <w:rPr>
          <w:rFonts w:ascii="Verdana" w:hAnsi="Verdana"/>
          <w:sz w:val="16"/>
          <w:szCs w:val="16"/>
          <w:lang w:val="es-AR" w:eastAsia="es-AR"/>
        </w:rPr>
        <w:t>/s interno/s que pudiera/n corresponder; y se deducirá hasta el cincuenta por ciento (50%) del monto de las exportaciones.</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sz w:val="16"/>
          <w:szCs w:val="16"/>
          <w:lang w:val="es-AR" w:eastAsia="es-AR"/>
        </w:rPr>
        <w:t xml:space="preserve">Para efectuar el presente encuadre, el contribuyente deberá tener presentadas la totalidad de las declaraciones juradas del impuesto sobre los ingresos brutos exigibles del período bajo análisis. Aquellos que no cumplan con este requisito, no se los </w:t>
      </w:r>
      <w:r w:rsidRPr="00250B9A">
        <w:rPr>
          <w:rFonts w:ascii="Verdana" w:hAnsi="Verdana"/>
          <w:sz w:val="16"/>
          <w:szCs w:val="16"/>
          <w:lang w:val="es-AR" w:eastAsia="es-AR"/>
        </w:rPr>
        <w:lastRenderedPageBreak/>
        <w:t xml:space="preserve">considerará </w:t>
      </w:r>
      <w:proofErr w:type="spellStart"/>
      <w:r w:rsidRPr="00250B9A">
        <w:rPr>
          <w:rFonts w:ascii="Verdana" w:hAnsi="Verdana"/>
          <w:sz w:val="16"/>
          <w:szCs w:val="16"/>
          <w:lang w:val="es-AR" w:eastAsia="es-AR"/>
        </w:rPr>
        <w:t>mipyme</w:t>
      </w:r>
      <w:proofErr w:type="spellEnd"/>
      <w:r w:rsidRPr="00250B9A">
        <w:rPr>
          <w:rFonts w:ascii="Verdana" w:hAnsi="Verdana"/>
          <w:sz w:val="16"/>
          <w:szCs w:val="16"/>
          <w:lang w:val="es-AR" w:eastAsia="es-AR"/>
        </w:rPr>
        <w:t>. En los casos de empresas cuya antigüedad sea menor que la requerida para el cálculo establecido en el párrafo anterior, las ventas totales anuales se determinarán promediando la información de los años fiscales cerrados. En su defecto, se considerará el proporcional de ventas acumuladas correspondientes a los períodos fiscales mensuales vencidos al momento de la solicitud de caracterización como micro, pequeña o mediana empresa.</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sz w:val="16"/>
          <w:szCs w:val="16"/>
          <w:lang w:val="es-AR" w:eastAsia="es-AR"/>
        </w:rPr>
        <w:t xml:space="preserve">La categorización se efectuará de igual manera que para las empresas inscriptas en el Registro de Empresas </w:t>
      </w:r>
      <w:proofErr w:type="spellStart"/>
      <w:r w:rsidRPr="00250B9A">
        <w:rPr>
          <w:rFonts w:ascii="Verdana" w:hAnsi="Verdana"/>
          <w:sz w:val="16"/>
          <w:szCs w:val="16"/>
          <w:lang w:val="es-AR" w:eastAsia="es-AR"/>
        </w:rPr>
        <w:t>MiPyMES</w:t>
      </w:r>
      <w:proofErr w:type="spellEnd"/>
      <w:r w:rsidRPr="00250B9A">
        <w:rPr>
          <w:rFonts w:ascii="Verdana" w:hAnsi="Verdana"/>
          <w:sz w:val="16"/>
          <w:szCs w:val="16"/>
          <w:lang w:val="es-AR" w:eastAsia="es-AR"/>
        </w:rPr>
        <w:t>, esto es cuando una empresa realice actividades en más de un sector, será caracterizada en el sector cuyas ventas hayan sido las mayores, de acuerdo al tramo que determine el valor de ventas totales anuales. No obstante, si en algún sector de actividad la empresa supera los límites cuantitativos previstos para dicho sector, dicha empresa no será considerada micro, pequeña o mediana.</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b/>
          <w:bCs/>
          <w:sz w:val="16"/>
          <w:szCs w:val="16"/>
          <w:lang w:val="es-AR" w:eastAsia="es-AR"/>
        </w:rPr>
        <w:t>Art. 7 - </w:t>
      </w:r>
      <w:r w:rsidRPr="00250B9A">
        <w:rPr>
          <w:rFonts w:ascii="Verdana" w:hAnsi="Verdana"/>
          <w:sz w:val="16"/>
          <w:szCs w:val="16"/>
          <w:lang w:val="es-AR" w:eastAsia="es-AR"/>
        </w:rPr>
        <w:t>A los fines de acceder a la bonificación que establece el </w:t>
      </w:r>
      <w:hyperlink r:id="rId9" w:anchor="ART_43" w:tgtFrame="_blank" w:history="1">
        <w:r w:rsidRPr="00250B9A">
          <w:rPr>
            <w:rFonts w:ascii="Verdana" w:hAnsi="Verdana"/>
            <w:sz w:val="16"/>
            <w:szCs w:val="16"/>
            <w:u w:val="single"/>
            <w:lang w:val="es-AR" w:eastAsia="es-AR"/>
          </w:rPr>
          <w:t>artículo 43 de la ley 5335</w:t>
        </w:r>
      </w:hyperlink>
      <w:r w:rsidRPr="00250B9A">
        <w:rPr>
          <w:rFonts w:ascii="Verdana" w:hAnsi="Verdana"/>
          <w:sz w:val="16"/>
          <w:szCs w:val="16"/>
          <w:lang w:val="es-AR" w:eastAsia="es-AR"/>
        </w:rPr>
        <w:t>, además de lo establecido en el artículo anterior, los contribuyentes deberán tener registrados ante la Agencia de Recaudación Tributaria, los datos que a continuación se detallan en forma correcta y actualizada:</w:t>
      </w:r>
    </w:p>
    <w:p w:rsidR="00250B9A" w:rsidRPr="00250B9A" w:rsidRDefault="00250B9A" w:rsidP="00250B9A">
      <w:pPr>
        <w:spacing w:before="80"/>
        <w:ind w:left="270" w:right="105"/>
        <w:jc w:val="both"/>
        <w:rPr>
          <w:rFonts w:ascii="Verdana" w:hAnsi="Verdana"/>
          <w:sz w:val="16"/>
          <w:szCs w:val="16"/>
          <w:lang w:val="es-AR" w:eastAsia="es-AR"/>
        </w:rPr>
      </w:pPr>
      <w:r w:rsidRPr="00250B9A">
        <w:rPr>
          <w:rFonts w:ascii="Verdana" w:hAnsi="Verdana"/>
          <w:sz w:val="16"/>
          <w:szCs w:val="16"/>
          <w:lang w:val="es-AR" w:eastAsia="es-AR"/>
        </w:rPr>
        <w:t>1. Datos referenciales (número de CUIT, razón social, apellido y nombres)</w:t>
      </w:r>
    </w:p>
    <w:p w:rsidR="00250B9A" w:rsidRPr="00250B9A" w:rsidRDefault="00250B9A" w:rsidP="00250B9A">
      <w:pPr>
        <w:spacing w:before="80"/>
        <w:ind w:left="270" w:right="105"/>
        <w:jc w:val="both"/>
        <w:rPr>
          <w:rFonts w:ascii="Verdana" w:hAnsi="Verdana"/>
          <w:sz w:val="16"/>
          <w:szCs w:val="16"/>
          <w:lang w:val="es-AR" w:eastAsia="es-AR"/>
        </w:rPr>
      </w:pPr>
      <w:r w:rsidRPr="00250B9A">
        <w:rPr>
          <w:rFonts w:ascii="Verdana" w:hAnsi="Verdana"/>
          <w:sz w:val="16"/>
          <w:szCs w:val="16"/>
          <w:lang w:val="es-AR" w:eastAsia="es-AR"/>
        </w:rPr>
        <w:t>2. Domicilio fiscal (lugar donde se desarrolla la actividad económica o donde se reside habitualmente, donde sean válidas y vinculantes todas las notificaciones administrativas judiciales que se realicen).</w:t>
      </w:r>
    </w:p>
    <w:p w:rsidR="00250B9A" w:rsidRPr="00250B9A" w:rsidRDefault="00250B9A" w:rsidP="00250B9A">
      <w:pPr>
        <w:spacing w:before="80"/>
        <w:ind w:left="270" w:right="105"/>
        <w:jc w:val="both"/>
        <w:rPr>
          <w:rFonts w:ascii="Verdana" w:hAnsi="Verdana"/>
          <w:sz w:val="16"/>
          <w:szCs w:val="16"/>
          <w:lang w:val="es-AR" w:eastAsia="es-AR"/>
        </w:rPr>
      </w:pPr>
      <w:r w:rsidRPr="00250B9A">
        <w:rPr>
          <w:rFonts w:ascii="Verdana" w:hAnsi="Verdana"/>
          <w:sz w:val="16"/>
          <w:szCs w:val="16"/>
          <w:lang w:val="es-AR" w:eastAsia="es-AR"/>
        </w:rPr>
        <w:t>3. Domicilio fiscal electrónico.</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sz w:val="16"/>
          <w:szCs w:val="16"/>
          <w:lang w:val="es-AR" w:eastAsia="es-AR"/>
        </w:rPr>
        <w:t>La actualización de los datos referenciales podrá realizarse a través de los servicios que a tal efecto se encuentran disponibles en la página web http://www.agencia.rionegro.gov.ar o en forma presencial en cualquiera de las oficinas de atención al público de la Agencia de Recaudación Tributaria.</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b/>
          <w:bCs/>
          <w:sz w:val="16"/>
          <w:szCs w:val="16"/>
          <w:lang w:val="es-AR" w:eastAsia="es-AR"/>
        </w:rPr>
        <w:t>Art. 8 - </w:t>
      </w:r>
      <w:r w:rsidRPr="00250B9A">
        <w:rPr>
          <w:rFonts w:ascii="Verdana" w:hAnsi="Verdana"/>
          <w:sz w:val="16"/>
          <w:szCs w:val="16"/>
          <w:lang w:val="es-AR" w:eastAsia="es-AR"/>
        </w:rPr>
        <w:t>La bonificación establecida en el punto 5 del artículo 43, corresponderá hasta la incorporación del impuesto sobre los ingresos brutos de la Provincia de Río Negro al Monotributo Unificado de la Administración Federal de Ingresos Públicos.</w:t>
      </w:r>
    </w:p>
    <w:p w:rsidR="00250B9A" w:rsidRPr="00250B9A" w:rsidRDefault="00250B9A" w:rsidP="00250B9A">
      <w:pPr>
        <w:spacing w:before="80"/>
        <w:ind w:left="105" w:right="105" w:firstLine="105"/>
        <w:jc w:val="both"/>
        <w:rPr>
          <w:rFonts w:ascii="Verdana" w:hAnsi="Verdana"/>
          <w:sz w:val="16"/>
          <w:szCs w:val="16"/>
          <w:lang w:val="es-AR" w:eastAsia="es-AR"/>
        </w:rPr>
      </w:pPr>
      <w:r w:rsidRPr="00250B9A">
        <w:rPr>
          <w:rFonts w:ascii="Verdana" w:hAnsi="Verdana"/>
          <w:b/>
          <w:bCs/>
          <w:sz w:val="16"/>
          <w:szCs w:val="16"/>
          <w:lang w:val="es-AR" w:eastAsia="es-AR"/>
        </w:rPr>
        <w:t>Art. 9 - </w:t>
      </w:r>
      <w:r w:rsidRPr="00250B9A">
        <w:rPr>
          <w:rFonts w:ascii="Verdana" w:hAnsi="Verdana"/>
          <w:sz w:val="16"/>
          <w:szCs w:val="16"/>
          <w:lang w:val="es-AR" w:eastAsia="es-AR"/>
        </w:rPr>
        <w:t>Los contribuyentes y/o responsables del impuesto sobre los ingresos brutos, encuadrados en el </w:t>
      </w:r>
      <w:hyperlink r:id="rId10" w:anchor="ART_42" w:tgtFrame="_blank" w:history="1">
        <w:r w:rsidRPr="00250B9A">
          <w:rPr>
            <w:rFonts w:ascii="Verdana" w:hAnsi="Verdana"/>
            <w:sz w:val="16"/>
            <w:szCs w:val="16"/>
            <w:u w:val="single"/>
            <w:lang w:val="es-AR" w:eastAsia="es-AR"/>
          </w:rPr>
          <w:t>artículo 42 de la ley 5335</w:t>
        </w:r>
      </w:hyperlink>
      <w:r w:rsidRPr="00250B9A">
        <w:rPr>
          <w:rFonts w:ascii="Verdana" w:hAnsi="Verdana"/>
          <w:sz w:val="16"/>
          <w:szCs w:val="16"/>
          <w:lang w:val="es-AR" w:eastAsia="es-AR"/>
        </w:rPr>
        <w:t> que inicien la actividad, gozarán de los beneficios de la norma a partir del primer anticipo…”</w:t>
      </w:r>
    </w:p>
    <w:p w:rsidR="0044276B" w:rsidRPr="00250B9A" w:rsidRDefault="0044276B" w:rsidP="00250B9A">
      <w:pPr>
        <w:spacing w:before="80"/>
        <w:ind w:left="105" w:right="105" w:firstLine="105"/>
        <w:jc w:val="both"/>
        <w:rPr>
          <w:rFonts w:ascii="Verdana" w:hAnsi="Verdana"/>
          <w:b/>
          <w:sz w:val="18"/>
          <w:szCs w:val="18"/>
          <w:lang w:val="es-AR"/>
        </w:rPr>
      </w:pPr>
    </w:p>
    <w:sectPr w:rsidR="0044276B" w:rsidRPr="00250B9A" w:rsidSect="00E76E01">
      <w:pgSz w:w="11906" w:h="16838" w:code="9"/>
      <w:pgMar w:top="567"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0363"/>
    <w:rsid w:val="000017FF"/>
    <w:rsid w:val="000119E2"/>
    <w:rsid w:val="00033ED1"/>
    <w:rsid w:val="00053043"/>
    <w:rsid w:val="000540E0"/>
    <w:rsid w:val="000937F5"/>
    <w:rsid w:val="000C1E61"/>
    <w:rsid w:val="000D1153"/>
    <w:rsid w:val="000E47C2"/>
    <w:rsid w:val="001016FB"/>
    <w:rsid w:val="00112874"/>
    <w:rsid w:val="00136EE4"/>
    <w:rsid w:val="00152987"/>
    <w:rsid w:val="001A33E8"/>
    <w:rsid w:val="002216B2"/>
    <w:rsid w:val="00250B9A"/>
    <w:rsid w:val="002A5F0B"/>
    <w:rsid w:val="002E450E"/>
    <w:rsid w:val="00317DB4"/>
    <w:rsid w:val="00320A5E"/>
    <w:rsid w:val="003264E9"/>
    <w:rsid w:val="003439FB"/>
    <w:rsid w:val="00352FD4"/>
    <w:rsid w:val="003716FA"/>
    <w:rsid w:val="00390D48"/>
    <w:rsid w:val="003B3E08"/>
    <w:rsid w:val="003D6062"/>
    <w:rsid w:val="003F7E5E"/>
    <w:rsid w:val="0042271B"/>
    <w:rsid w:val="0042489C"/>
    <w:rsid w:val="00435749"/>
    <w:rsid w:val="0044276B"/>
    <w:rsid w:val="00442EA7"/>
    <w:rsid w:val="00450EAE"/>
    <w:rsid w:val="004857C8"/>
    <w:rsid w:val="00492B97"/>
    <w:rsid w:val="004C38AF"/>
    <w:rsid w:val="004C65A3"/>
    <w:rsid w:val="004D529E"/>
    <w:rsid w:val="00507723"/>
    <w:rsid w:val="00537D7E"/>
    <w:rsid w:val="0057026D"/>
    <w:rsid w:val="00574E7E"/>
    <w:rsid w:val="0059622A"/>
    <w:rsid w:val="005D2F4B"/>
    <w:rsid w:val="005E6D69"/>
    <w:rsid w:val="00615698"/>
    <w:rsid w:val="006270AF"/>
    <w:rsid w:val="006341F0"/>
    <w:rsid w:val="00640F12"/>
    <w:rsid w:val="00657CD3"/>
    <w:rsid w:val="00674A97"/>
    <w:rsid w:val="00684709"/>
    <w:rsid w:val="0069191D"/>
    <w:rsid w:val="006943E9"/>
    <w:rsid w:val="00694B28"/>
    <w:rsid w:val="006E1F83"/>
    <w:rsid w:val="006E2690"/>
    <w:rsid w:val="006F3959"/>
    <w:rsid w:val="006F7A06"/>
    <w:rsid w:val="00733228"/>
    <w:rsid w:val="00761961"/>
    <w:rsid w:val="00770040"/>
    <w:rsid w:val="007764AD"/>
    <w:rsid w:val="00797B4C"/>
    <w:rsid w:val="007A33AD"/>
    <w:rsid w:val="007F274A"/>
    <w:rsid w:val="007F6C8D"/>
    <w:rsid w:val="007F720A"/>
    <w:rsid w:val="00814037"/>
    <w:rsid w:val="00882D8D"/>
    <w:rsid w:val="00895576"/>
    <w:rsid w:val="008961A4"/>
    <w:rsid w:val="008B1F2E"/>
    <w:rsid w:val="008C54EC"/>
    <w:rsid w:val="008D4632"/>
    <w:rsid w:val="008E0F2D"/>
    <w:rsid w:val="008E5FB3"/>
    <w:rsid w:val="009115E1"/>
    <w:rsid w:val="00913EB4"/>
    <w:rsid w:val="00921E2B"/>
    <w:rsid w:val="00941066"/>
    <w:rsid w:val="00987AA5"/>
    <w:rsid w:val="00995767"/>
    <w:rsid w:val="009E7ED5"/>
    <w:rsid w:val="00A033B5"/>
    <w:rsid w:val="00A231F2"/>
    <w:rsid w:val="00A4690E"/>
    <w:rsid w:val="00A67F33"/>
    <w:rsid w:val="00A729F4"/>
    <w:rsid w:val="00AD6702"/>
    <w:rsid w:val="00AE241A"/>
    <w:rsid w:val="00AE2A54"/>
    <w:rsid w:val="00AE5AD2"/>
    <w:rsid w:val="00B20C50"/>
    <w:rsid w:val="00B21B25"/>
    <w:rsid w:val="00B244B9"/>
    <w:rsid w:val="00B941C7"/>
    <w:rsid w:val="00BC683A"/>
    <w:rsid w:val="00BF20C9"/>
    <w:rsid w:val="00C33E91"/>
    <w:rsid w:val="00C429B6"/>
    <w:rsid w:val="00C704F6"/>
    <w:rsid w:val="00C71797"/>
    <w:rsid w:val="00C92034"/>
    <w:rsid w:val="00CB197C"/>
    <w:rsid w:val="00CC2C26"/>
    <w:rsid w:val="00CC5960"/>
    <w:rsid w:val="00D31975"/>
    <w:rsid w:val="00D431C8"/>
    <w:rsid w:val="00DB1DCC"/>
    <w:rsid w:val="00DD144F"/>
    <w:rsid w:val="00E07983"/>
    <w:rsid w:val="00E32471"/>
    <w:rsid w:val="00E50847"/>
    <w:rsid w:val="00E53095"/>
    <w:rsid w:val="00E572B7"/>
    <w:rsid w:val="00E76E01"/>
    <w:rsid w:val="00E8352A"/>
    <w:rsid w:val="00EA280F"/>
    <w:rsid w:val="00EA390B"/>
    <w:rsid w:val="00EB7AAC"/>
    <w:rsid w:val="00ED4193"/>
    <w:rsid w:val="00F1495D"/>
    <w:rsid w:val="00F1579F"/>
    <w:rsid w:val="00F51E2F"/>
    <w:rsid w:val="00F56A2E"/>
    <w:rsid w:val="00F7009D"/>
    <w:rsid w:val="00F8265F"/>
    <w:rsid w:val="00FB7688"/>
    <w:rsid w:val="00FC3C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734999-7F82-4981-AEB4-EA5A6B2D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33B5"/>
    <w:rPr>
      <w:rFonts w:ascii="Tahoma" w:hAnsi="Tahoma"/>
      <w:sz w:val="16"/>
      <w:szCs w:val="16"/>
    </w:rPr>
  </w:style>
  <w:style w:type="character" w:customStyle="1" w:styleId="TextodegloboCar">
    <w:name w:val="Texto de globo Car"/>
    <w:link w:val="Textodeglobo"/>
    <w:uiPriority w:val="99"/>
    <w:semiHidden/>
    <w:rsid w:val="00A033B5"/>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5D2F4B"/>
    <w:pPr>
      <w:spacing w:before="100" w:beforeAutospacing="1" w:after="100" w:afterAutospacing="1"/>
    </w:pPr>
  </w:style>
  <w:style w:type="paragraph" w:customStyle="1" w:styleId="1erfrancesnovedades">
    <w:name w:val="1erfrancesnovedades"/>
    <w:basedOn w:val="Normal"/>
    <w:uiPriority w:val="99"/>
    <w:rsid w:val="00CC2C26"/>
    <w:pPr>
      <w:spacing w:before="80"/>
      <w:ind w:left="360"/>
      <w:jc w:val="both"/>
    </w:pPr>
    <w:rPr>
      <w:rFonts w:ascii="Verdana" w:hAnsi="Verdana"/>
      <w:sz w:val="16"/>
      <w:szCs w:val="16"/>
    </w:rPr>
  </w:style>
  <w:style w:type="paragraph" w:customStyle="1" w:styleId="textonovedades">
    <w:name w:val="textonovedades"/>
    <w:basedOn w:val="Normal"/>
    <w:uiPriority w:val="99"/>
    <w:rsid w:val="00CC2C26"/>
    <w:pPr>
      <w:spacing w:before="120"/>
      <w:jc w:val="both"/>
    </w:pPr>
    <w:rPr>
      <w:rFonts w:ascii="Verdana" w:hAnsi="Verdana"/>
      <w:sz w:val="16"/>
      <w:szCs w:val="16"/>
    </w:rPr>
  </w:style>
  <w:style w:type="character" w:customStyle="1" w:styleId="negritanovedades">
    <w:name w:val="negritanovedades"/>
    <w:rsid w:val="00CC2C26"/>
    <w:rPr>
      <w:b/>
      <w:bCs/>
    </w:rPr>
  </w:style>
  <w:style w:type="paragraph" w:customStyle="1" w:styleId="2dofrancesnovedades">
    <w:name w:val="2dofrancesnovedades"/>
    <w:basedOn w:val="Normal"/>
    <w:uiPriority w:val="99"/>
    <w:rsid w:val="00CC2C26"/>
    <w:pPr>
      <w:spacing w:before="80"/>
      <w:ind w:left="720"/>
      <w:jc w:val="both"/>
    </w:pPr>
    <w:rPr>
      <w:rFonts w:ascii="Verdana" w:hAnsi="Verdana"/>
      <w:sz w:val="16"/>
      <w:szCs w:val="16"/>
    </w:rPr>
  </w:style>
  <w:style w:type="paragraph" w:customStyle="1" w:styleId="sangrianovedades">
    <w:name w:val="sangrianovedades"/>
    <w:basedOn w:val="Normal"/>
    <w:rsid w:val="003716FA"/>
    <w:pPr>
      <w:spacing w:before="100" w:beforeAutospacing="1" w:after="100" w:afterAutospacing="1"/>
    </w:pPr>
  </w:style>
  <w:style w:type="paragraph" w:customStyle="1" w:styleId="errepar1erfrancesnovedades">
    <w:name w:val="errepar_1erfrancesnovedades"/>
    <w:basedOn w:val="Normal"/>
    <w:rsid w:val="003716FA"/>
    <w:pPr>
      <w:spacing w:before="100" w:beforeAutospacing="1" w:after="100" w:afterAutospacing="1"/>
    </w:pPr>
  </w:style>
  <w:style w:type="paragraph" w:customStyle="1" w:styleId="textocentradonegritanovedades">
    <w:name w:val="textocentradonegritanovedades"/>
    <w:basedOn w:val="Normal"/>
    <w:rsid w:val="003716FA"/>
    <w:pPr>
      <w:spacing w:before="100" w:beforeAutospacing="1" w:after="100" w:afterAutospacing="1"/>
    </w:pPr>
  </w:style>
  <w:style w:type="character" w:customStyle="1" w:styleId="apple-converted-space">
    <w:name w:val="apple-converted-space"/>
    <w:rsid w:val="003B3E08"/>
  </w:style>
  <w:style w:type="character" w:customStyle="1" w:styleId="hipervnculo">
    <w:name w:val="hipervnculo"/>
    <w:rsid w:val="003B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6572">
      <w:bodyDiv w:val="1"/>
      <w:marLeft w:val="0"/>
      <w:marRight w:val="0"/>
      <w:marTop w:val="0"/>
      <w:marBottom w:val="0"/>
      <w:divBdr>
        <w:top w:val="none" w:sz="0" w:space="0" w:color="auto"/>
        <w:left w:val="none" w:sz="0" w:space="0" w:color="auto"/>
        <w:bottom w:val="none" w:sz="0" w:space="0" w:color="auto"/>
        <w:right w:val="none" w:sz="0" w:space="0" w:color="auto"/>
      </w:divBdr>
    </w:div>
    <w:div w:id="118650481">
      <w:bodyDiv w:val="1"/>
      <w:marLeft w:val="0"/>
      <w:marRight w:val="0"/>
      <w:marTop w:val="0"/>
      <w:marBottom w:val="0"/>
      <w:divBdr>
        <w:top w:val="none" w:sz="0" w:space="0" w:color="auto"/>
        <w:left w:val="none" w:sz="0" w:space="0" w:color="auto"/>
        <w:bottom w:val="none" w:sz="0" w:space="0" w:color="auto"/>
        <w:right w:val="none" w:sz="0" w:space="0" w:color="auto"/>
      </w:divBdr>
      <w:divsChild>
        <w:div w:id="2000424998">
          <w:marLeft w:val="0"/>
          <w:marRight w:val="0"/>
          <w:marTop w:val="0"/>
          <w:marBottom w:val="0"/>
          <w:divBdr>
            <w:top w:val="none" w:sz="0" w:space="0" w:color="auto"/>
            <w:left w:val="none" w:sz="0" w:space="0" w:color="auto"/>
            <w:bottom w:val="none" w:sz="0" w:space="0" w:color="auto"/>
            <w:right w:val="none" w:sz="0" w:space="0" w:color="auto"/>
          </w:divBdr>
          <w:divsChild>
            <w:div w:id="910234758">
              <w:marLeft w:val="0"/>
              <w:marRight w:val="0"/>
              <w:marTop w:val="0"/>
              <w:marBottom w:val="0"/>
              <w:divBdr>
                <w:top w:val="none" w:sz="0" w:space="0" w:color="auto"/>
                <w:left w:val="none" w:sz="0" w:space="0" w:color="auto"/>
                <w:bottom w:val="none" w:sz="0" w:space="0" w:color="auto"/>
                <w:right w:val="none" w:sz="0" w:space="0" w:color="auto"/>
              </w:divBdr>
              <w:divsChild>
                <w:div w:id="964778102">
                  <w:marLeft w:val="0"/>
                  <w:marRight w:val="0"/>
                  <w:marTop w:val="0"/>
                  <w:marBottom w:val="0"/>
                  <w:divBdr>
                    <w:top w:val="none" w:sz="0" w:space="0" w:color="auto"/>
                    <w:left w:val="none" w:sz="0" w:space="0" w:color="auto"/>
                    <w:bottom w:val="none" w:sz="0" w:space="0" w:color="auto"/>
                    <w:right w:val="none" w:sz="0" w:space="0" w:color="auto"/>
                  </w:divBdr>
                  <w:divsChild>
                    <w:div w:id="1560701003">
                      <w:marLeft w:val="0"/>
                      <w:marRight w:val="0"/>
                      <w:marTop w:val="150"/>
                      <w:marBottom w:val="0"/>
                      <w:divBdr>
                        <w:top w:val="none" w:sz="0" w:space="0" w:color="auto"/>
                        <w:left w:val="none" w:sz="0" w:space="0" w:color="auto"/>
                        <w:bottom w:val="none" w:sz="0" w:space="0" w:color="auto"/>
                        <w:right w:val="none" w:sz="0" w:space="0" w:color="auto"/>
                      </w:divBdr>
                      <w:divsChild>
                        <w:div w:id="1984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31986">
      <w:bodyDiv w:val="1"/>
      <w:marLeft w:val="0"/>
      <w:marRight w:val="0"/>
      <w:marTop w:val="0"/>
      <w:marBottom w:val="0"/>
      <w:divBdr>
        <w:top w:val="none" w:sz="0" w:space="0" w:color="auto"/>
        <w:left w:val="none" w:sz="0" w:space="0" w:color="auto"/>
        <w:bottom w:val="none" w:sz="0" w:space="0" w:color="auto"/>
        <w:right w:val="none" w:sz="0" w:space="0" w:color="auto"/>
      </w:divBdr>
    </w:div>
    <w:div w:id="350180601">
      <w:bodyDiv w:val="1"/>
      <w:marLeft w:val="0"/>
      <w:marRight w:val="0"/>
      <w:marTop w:val="0"/>
      <w:marBottom w:val="0"/>
      <w:divBdr>
        <w:top w:val="none" w:sz="0" w:space="0" w:color="auto"/>
        <w:left w:val="none" w:sz="0" w:space="0" w:color="auto"/>
        <w:bottom w:val="none" w:sz="0" w:space="0" w:color="auto"/>
        <w:right w:val="none" w:sz="0" w:space="0" w:color="auto"/>
      </w:divBdr>
    </w:div>
    <w:div w:id="408962571">
      <w:bodyDiv w:val="1"/>
      <w:marLeft w:val="0"/>
      <w:marRight w:val="0"/>
      <w:marTop w:val="0"/>
      <w:marBottom w:val="0"/>
      <w:divBdr>
        <w:top w:val="none" w:sz="0" w:space="0" w:color="auto"/>
        <w:left w:val="none" w:sz="0" w:space="0" w:color="auto"/>
        <w:bottom w:val="none" w:sz="0" w:space="0" w:color="auto"/>
        <w:right w:val="none" w:sz="0" w:space="0" w:color="auto"/>
      </w:divBdr>
    </w:div>
    <w:div w:id="472530907">
      <w:bodyDiv w:val="1"/>
      <w:marLeft w:val="0"/>
      <w:marRight w:val="0"/>
      <w:marTop w:val="0"/>
      <w:marBottom w:val="0"/>
      <w:divBdr>
        <w:top w:val="none" w:sz="0" w:space="0" w:color="auto"/>
        <w:left w:val="none" w:sz="0" w:space="0" w:color="auto"/>
        <w:bottom w:val="none" w:sz="0" w:space="0" w:color="auto"/>
        <w:right w:val="none" w:sz="0" w:space="0" w:color="auto"/>
      </w:divBdr>
    </w:div>
    <w:div w:id="564947723">
      <w:bodyDiv w:val="1"/>
      <w:marLeft w:val="0"/>
      <w:marRight w:val="0"/>
      <w:marTop w:val="0"/>
      <w:marBottom w:val="0"/>
      <w:divBdr>
        <w:top w:val="none" w:sz="0" w:space="0" w:color="auto"/>
        <w:left w:val="none" w:sz="0" w:space="0" w:color="auto"/>
        <w:bottom w:val="none" w:sz="0" w:space="0" w:color="auto"/>
        <w:right w:val="none" w:sz="0" w:space="0" w:color="auto"/>
      </w:divBdr>
    </w:div>
    <w:div w:id="647245359">
      <w:bodyDiv w:val="1"/>
      <w:marLeft w:val="0"/>
      <w:marRight w:val="0"/>
      <w:marTop w:val="0"/>
      <w:marBottom w:val="0"/>
      <w:divBdr>
        <w:top w:val="none" w:sz="0" w:space="0" w:color="auto"/>
        <w:left w:val="none" w:sz="0" w:space="0" w:color="auto"/>
        <w:bottom w:val="none" w:sz="0" w:space="0" w:color="auto"/>
        <w:right w:val="none" w:sz="0" w:space="0" w:color="auto"/>
      </w:divBdr>
    </w:div>
    <w:div w:id="1106848413">
      <w:bodyDiv w:val="1"/>
      <w:marLeft w:val="0"/>
      <w:marRight w:val="0"/>
      <w:marTop w:val="0"/>
      <w:marBottom w:val="0"/>
      <w:divBdr>
        <w:top w:val="none" w:sz="0" w:space="0" w:color="auto"/>
        <w:left w:val="none" w:sz="0" w:space="0" w:color="auto"/>
        <w:bottom w:val="none" w:sz="0" w:space="0" w:color="auto"/>
        <w:right w:val="none" w:sz="0" w:space="0" w:color="auto"/>
      </w:divBdr>
    </w:div>
    <w:div w:id="1714424017">
      <w:bodyDiv w:val="1"/>
      <w:marLeft w:val="0"/>
      <w:marRight w:val="0"/>
      <w:marTop w:val="0"/>
      <w:marBottom w:val="0"/>
      <w:divBdr>
        <w:top w:val="none" w:sz="0" w:space="0" w:color="auto"/>
        <w:left w:val="none" w:sz="0" w:space="0" w:color="auto"/>
        <w:bottom w:val="none" w:sz="0" w:space="0" w:color="auto"/>
        <w:right w:val="none" w:sz="0" w:space="0" w:color="auto"/>
      </w:divBdr>
    </w:div>
    <w:div w:id="17789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70216070128415.docxhtml" TargetMode="External"/><Relationship Id="rId3" Type="http://schemas.openxmlformats.org/officeDocument/2006/relationships/settings" Target="settings.xml"/><Relationship Id="rId7" Type="http://schemas.openxmlformats.org/officeDocument/2006/relationships/hyperlink" Target="http://eolgestion.errepar.com/sitios/eolgestion/Legislacion/20110807085046849.doc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olgestion.errepar.com/sitios/eolgestion/Legislacion/20110807085046849.docxhtml" TargetMode="External"/><Relationship Id="rId11" Type="http://schemas.openxmlformats.org/officeDocument/2006/relationships/fontTable" Target="fontTable.xml"/><Relationship Id="rId5" Type="http://schemas.openxmlformats.org/officeDocument/2006/relationships/hyperlink" Target="http://eolgestion.errepar.com/sitios/eolgestion/Legislacion/20181227141419371.docxhtml" TargetMode="External"/><Relationship Id="rId10" Type="http://schemas.openxmlformats.org/officeDocument/2006/relationships/hyperlink" Target="http://eolgestion.errepar.com/sitios/eolgestion/Legislacion/20181227141419371.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81227141419371.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B025-015D-41C6-AAE9-E6723056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1816</Words>
  <Characters>9988</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PROVINCIA  DE  RIO  NEGRO</vt:lpstr>
    </vt:vector>
  </TitlesOfParts>
  <Company>Sajo Computacion</Company>
  <LinksUpToDate>false</LinksUpToDate>
  <CharactersWithSpaces>11781</CharactersWithSpaces>
  <SharedDoc>false</SharedDoc>
  <HLinks>
    <vt:vector size="36" baseType="variant">
      <vt:variant>
        <vt:i4>4128859</vt:i4>
      </vt:variant>
      <vt:variant>
        <vt:i4>15</vt:i4>
      </vt:variant>
      <vt:variant>
        <vt:i4>0</vt:i4>
      </vt:variant>
      <vt:variant>
        <vt:i4>5</vt:i4>
      </vt:variant>
      <vt:variant>
        <vt:lpwstr>http://eolgestion.errepar.com/sitios/eolgestion/Legislacion/20181227141419371.docxhtml</vt:lpwstr>
      </vt:variant>
      <vt:variant>
        <vt:lpwstr>ART_42</vt:lpwstr>
      </vt:variant>
      <vt:variant>
        <vt:i4>4063323</vt:i4>
      </vt:variant>
      <vt:variant>
        <vt:i4>12</vt:i4>
      </vt:variant>
      <vt:variant>
        <vt:i4>0</vt:i4>
      </vt:variant>
      <vt:variant>
        <vt:i4>5</vt:i4>
      </vt:variant>
      <vt:variant>
        <vt:lpwstr>http://eolgestion.errepar.com/sitios/eolgestion/Legislacion/20181227141419371.docxhtml</vt:lpwstr>
      </vt:variant>
      <vt:variant>
        <vt:lpwstr>ART_43</vt:lpwstr>
      </vt:variant>
      <vt:variant>
        <vt:i4>3080312</vt:i4>
      </vt:variant>
      <vt:variant>
        <vt:i4>9</vt:i4>
      </vt:variant>
      <vt:variant>
        <vt:i4>0</vt:i4>
      </vt:variant>
      <vt:variant>
        <vt:i4>5</vt:i4>
      </vt:variant>
      <vt:variant>
        <vt:lpwstr>http://eolgestion.errepar.com/sitios/eolgestion/Legislacion/20170216070128415.docxhtml</vt:lpwstr>
      </vt:variant>
      <vt:variant>
        <vt:lpwstr/>
      </vt:variant>
      <vt:variant>
        <vt:i4>2556026</vt:i4>
      </vt:variant>
      <vt:variant>
        <vt:i4>6</vt:i4>
      </vt:variant>
      <vt:variant>
        <vt:i4>0</vt:i4>
      </vt:variant>
      <vt:variant>
        <vt:i4>5</vt:i4>
      </vt:variant>
      <vt:variant>
        <vt:lpwstr>http://eolgestion.errepar.com/sitios/eolgestion/Legislacion/20110807085046849.docxhtml</vt:lpwstr>
      </vt:variant>
      <vt:variant>
        <vt:lpwstr/>
      </vt:variant>
      <vt:variant>
        <vt:i4>2556026</vt:i4>
      </vt:variant>
      <vt:variant>
        <vt:i4>3</vt:i4>
      </vt:variant>
      <vt:variant>
        <vt:i4>0</vt:i4>
      </vt:variant>
      <vt:variant>
        <vt:i4>5</vt:i4>
      </vt:variant>
      <vt:variant>
        <vt:lpwstr>http://eolgestion.errepar.com/sitios/eolgestion/Legislacion/20110807085046849.docxhtml</vt:lpwstr>
      </vt:variant>
      <vt:variant>
        <vt:lpwstr/>
      </vt:variant>
      <vt:variant>
        <vt:i4>4128859</vt:i4>
      </vt:variant>
      <vt:variant>
        <vt:i4>0</vt:i4>
      </vt:variant>
      <vt:variant>
        <vt:i4>0</vt:i4>
      </vt:variant>
      <vt:variant>
        <vt:i4>5</vt:i4>
      </vt:variant>
      <vt:variant>
        <vt:lpwstr>http://eolgestion.errepar.com/sitios/eolgestion/Legislacion/20181227141419371.docxhtml</vt:lpwstr>
      </vt:variant>
      <vt:variant>
        <vt:lpwstr>ART_42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RIO  NEGRO</dc:title>
  <dc:subject/>
  <dc:creator>Fadeeac</dc:creator>
  <cp:keywords/>
  <cp:lastModifiedBy>FADEEAC</cp:lastModifiedBy>
  <cp:revision>2</cp:revision>
  <cp:lastPrinted>2019-02-04T18:43:00Z</cp:lastPrinted>
  <dcterms:created xsi:type="dcterms:W3CDTF">2019-02-04T18:46:00Z</dcterms:created>
  <dcterms:modified xsi:type="dcterms:W3CDTF">2019-02-04T18:46:00Z</dcterms:modified>
</cp:coreProperties>
</file>