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41B" w:rsidRDefault="003D041B">
      <w:pPr>
        <w:jc w:val="center"/>
        <w:rPr>
          <w:b/>
          <w:i/>
          <w:sz w:val="40"/>
          <w:szCs w:val="40"/>
          <w:u w:val="single"/>
        </w:rPr>
      </w:pPr>
      <w:bookmarkStart w:id="0" w:name="_GoBack"/>
      <w:bookmarkEnd w:id="0"/>
      <w:r>
        <w:rPr>
          <w:b/>
          <w:i/>
          <w:sz w:val="40"/>
          <w:szCs w:val="40"/>
          <w:u w:val="single"/>
        </w:rPr>
        <w:t xml:space="preserve">PROVINCIA DE </w:t>
      </w:r>
      <w:r w:rsidR="00A56AA5">
        <w:rPr>
          <w:b/>
          <w:i/>
          <w:sz w:val="40"/>
          <w:szCs w:val="40"/>
          <w:u w:val="single"/>
        </w:rPr>
        <w:t>FORMOSA</w:t>
      </w:r>
    </w:p>
    <w:p w:rsidR="003D041B" w:rsidRDefault="003D041B"/>
    <w:p w:rsidR="003D041B" w:rsidRDefault="00BA7D73">
      <w:pPr>
        <w:rPr>
          <w:i/>
          <w:u w:val="single"/>
        </w:rPr>
      </w:pPr>
      <w:r>
        <w:rPr>
          <w:i/>
          <w:u w:val="single"/>
        </w:rPr>
        <w:t xml:space="preserve">CODIFICACION – ALICUOTAS </w:t>
      </w:r>
      <w:r w:rsidRPr="00B67081">
        <w:rPr>
          <w:b/>
          <w:i/>
          <w:u w:val="single"/>
        </w:rPr>
        <w:t>201</w:t>
      </w:r>
      <w:r w:rsidR="006C7272">
        <w:rPr>
          <w:b/>
          <w:i/>
          <w:u w:val="single"/>
        </w:rPr>
        <w:t>9</w:t>
      </w:r>
      <w:r w:rsidR="003D041B">
        <w:rPr>
          <w:i/>
          <w:u w:val="single"/>
        </w:rPr>
        <w:t xml:space="preserve"> (GENERAL </w:t>
      </w:r>
      <w:r w:rsidR="00A56AA5">
        <w:rPr>
          <w:i/>
          <w:u w:val="single"/>
        </w:rPr>
        <w:t>3</w:t>
      </w:r>
      <w:r w:rsidR="003D041B">
        <w:rPr>
          <w:i/>
          <w:u w:val="single"/>
        </w:rPr>
        <w:t>%)</w:t>
      </w:r>
      <w:r w:rsidR="00B77897">
        <w:rPr>
          <w:i/>
          <w:u w:val="single"/>
        </w:rPr>
        <w:t xml:space="preserve"> </w:t>
      </w:r>
    </w:p>
    <w:p w:rsidR="00A56AA5" w:rsidRDefault="00A56AA5"/>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4819"/>
        <w:gridCol w:w="1559"/>
        <w:gridCol w:w="2127"/>
      </w:tblGrid>
      <w:tr w:rsidR="003D041B" w:rsidTr="00BC6188">
        <w:trPr>
          <w:cantSplit/>
          <w:trHeight w:val="352"/>
        </w:trPr>
        <w:tc>
          <w:tcPr>
            <w:tcW w:w="2127" w:type="dxa"/>
            <w:gridSpan w:val="2"/>
          </w:tcPr>
          <w:p w:rsidR="003D041B" w:rsidRPr="00BC6188" w:rsidRDefault="003D041B">
            <w:pPr>
              <w:jc w:val="center"/>
              <w:rPr>
                <w:rFonts w:ascii="Verdana" w:hAnsi="Verdana"/>
                <w:b/>
                <w:sz w:val="18"/>
                <w:szCs w:val="18"/>
              </w:rPr>
            </w:pPr>
          </w:p>
          <w:p w:rsidR="003D041B" w:rsidRPr="00BC6188" w:rsidRDefault="003D041B">
            <w:pPr>
              <w:jc w:val="center"/>
              <w:rPr>
                <w:rFonts w:ascii="Verdana" w:hAnsi="Verdana"/>
                <w:b/>
                <w:sz w:val="18"/>
                <w:szCs w:val="18"/>
              </w:rPr>
            </w:pPr>
            <w:r w:rsidRPr="00BC6188">
              <w:rPr>
                <w:rFonts w:ascii="Verdana" w:hAnsi="Verdana"/>
                <w:b/>
                <w:sz w:val="18"/>
                <w:szCs w:val="18"/>
              </w:rPr>
              <w:t>CODIGO</w:t>
            </w:r>
          </w:p>
        </w:tc>
        <w:tc>
          <w:tcPr>
            <w:tcW w:w="4819" w:type="dxa"/>
            <w:vMerge w:val="restart"/>
          </w:tcPr>
          <w:p w:rsidR="003D041B" w:rsidRPr="00BC6188" w:rsidRDefault="003D041B">
            <w:pPr>
              <w:jc w:val="center"/>
              <w:rPr>
                <w:rFonts w:ascii="Verdana" w:hAnsi="Verdana"/>
                <w:b/>
                <w:sz w:val="18"/>
                <w:szCs w:val="18"/>
              </w:rPr>
            </w:pPr>
          </w:p>
          <w:p w:rsidR="003D041B" w:rsidRPr="00BC6188" w:rsidRDefault="003D041B">
            <w:pPr>
              <w:jc w:val="center"/>
              <w:rPr>
                <w:rFonts w:ascii="Verdana" w:hAnsi="Verdana"/>
                <w:b/>
                <w:sz w:val="18"/>
                <w:szCs w:val="18"/>
              </w:rPr>
            </w:pPr>
            <w:r w:rsidRPr="00BC6188">
              <w:rPr>
                <w:rFonts w:ascii="Verdana" w:hAnsi="Verdana"/>
                <w:b/>
                <w:sz w:val="18"/>
                <w:szCs w:val="18"/>
              </w:rPr>
              <w:t>DESCRIPCION</w:t>
            </w:r>
          </w:p>
        </w:tc>
        <w:tc>
          <w:tcPr>
            <w:tcW w:w="1559" w:type="dxa"/>
            <w:vMerge w:val="restart"/>
          </w:tcPr>
          <w:p w:rsidR="003D041B" w:rsidRPr="00BC6188" w:rsidRDefault="003D041B">
            <w:pPr>
              <w:jc w:val="center"/>
              <w:rPr>
                <w:rFonts w:ascii="Verdana" w:hAnsi="Verdana"/>
                <w:b/>
                <w:sz w:val="18"/>
                <w:szCs w:val="18"/>
              </w:rPr>
            </w:pPr>
          </w:p>
          <w:p w:rsidR="003D041B" w:rsidRPr="00BC6188" w:rsidRDefault="003D041B">
            <w:pPr>
              <w:jc w:val="center"/>
              <w:rPr>
                <w:rFonts w:ascii="Verdana" w:hAnsi="Verdana"/>
                <w:b/>
                <w:sz w:val="18"/>
                <w:szCs w:val="18"/>
              </w:rPr>
            </w:pPr>
            <w:r w:rsidRPr="00BC6188">
              <w:rPr>
                <w:rFonts w:ascii="Verdana" w:hAnsi="Verdana"/>
                <w:b/>
                <w:sz w:val="18"/>
                <w:szCs w:val="18"/>
              </w:rPr>
              <w:t>ALICUOTA</w:t>
            </w:r>
          </w:p>
          <w:p w:rsidR="0038148E" w:rsidRPr="00BC6188" w:rsidRDefault="0038148E">
            <w:pPr>
              <w:jc w:val="center"/>
              <w:rPr>
                <w:rFonts w:ascii="Verdana" w:hAnsi="Verdana"/>
                <w:b/>
                <w:sz w:val="18"/>
                <w:szCs w:val="18"/>
              </w:rPr>
            </w:pPr>
          </w:p>
        </w:tc>
        <w:tc>
          <w:tcPr>
            <w:tcW w:w="2127" w:type="dxa"/>
            <w:vMerge w:val="restart"/>
          </w:tcPr>
          <w:p w:rsidR="003D041B" w:rsidRPr="00BC6188" w:rsidRDefault="003D041B">
            <w:pPr>
              <w:jc w:val="center"/>
              <w:rPr>
                <w:rFonts w:ascii="Verdana" w:hAnsi="Verdana"/>
                <w:b/>
                <w:sz w:val="18"/>
                <w:szCs w:val="18"/>
              </w:rPr>
            </w:pPr>
          </w:p>
          <w:p w:rsidR="003D041B" w:rsidRPr="00BC6188" w:rsidRDefault="003D041B">
            <w:pPr>
              <w:jc w:val="center"/>
              <w:rPr>
                <w:rFonts w:ascii="Verdana" w:hAnsi="Verdana"/>
                <w:b/>
                <w:sz w:val="18"/>
                <w:szCs w:val="18"/>
              </w:rPr>
            </w:pPr>
            <w:r w:rsidRPr="00BC6188">
              <w:rPr>
                <w:rFonts w:ascii="Verdana" w:hAnsi="Verdana"/>
                <w:b/>
                <w:sz w:val="18"/>
                <w:szCs w:val="18"/>
              </w:rPr>
              <w:t>OBSERVACIONES</w:t>
            </w:r>
          </w:p>
        </w:tc>
      </w:tr>
      <w:tr w:rsidR="003D041B" w:rsidTr="00BC6188">
        <w:trPr>
          <w:cantSplit/>
          <w:trHeight w:val="351"/>
        </w:trPr>
        <w:tc>
          <w:tcPr>
            <w:tcW w:w="993" w:type="dxa"/>
          </w:tcPr>
          <w:p w:rsidR="003D041B" w:rsidRPr="00BC6188" w:rsidRDefault="003D041B">
            <w:pPr>
              <w:jc w:val="center"/>
              <w:rPr>
                <w:rFonts w:ascii="Verdana" w:hAnsi="Verdana"/>
                <w:b/>
                <w:sz w:val="18"/>
                <w:szCs w:val="18"/>
              </w:rPr>
            </w:pPr>
            <w:r w:rsidRPr="00BC6188">
              <w:rPr>
                <w:rFonts w:ascii="Verdana" w:hAnsi="Verdana"/>
                <w:b/>
                <w:sz w:val="18"/>
                <w:szCs w:val="18"/>
              </w:rPr>
              <w:t>C.M.</w:t>
            </w:r>
          </w:p>
        </w:tc>
        <w:tc>
          <w:tcPr>
            <w:tcW w:w="1134" w:type="dxa"/>
          </w:tcPr>
          <w:p w:rsidR="003D041B" w:rsidRPr="00BC6188" w:rsidRDefault="003D041B">
            <w:pPr>
              <w:jc w:val="center"/>
              <w:rPr>
                <w:rFonts w:ascii="Verdana" w:hAnsi="Verdana"/>
                <w:b/>
                <w:sz w:val="18"/>
                <w:szCs w:val="18"/>
              </w:rPr>
            </w:pPr>
            <w:r w:rsidRPr="00BC6188">
              <w:rPr>
                <w:rFonts w:ascii="Verdana" w:hAnsi="Verdana"/>
                <w:b/>
                <w:sz w:val="18"/>
                <w:szCs w:val="18"/>
              </w:rPr>
              <w:t>PCIA.</w:t>
            </w:r>
          </w:p>
        </w:tc>
        <w:tc>
          <w:tcPr>
            <w:tcW w:w="4819" w:type="dxa"/>
            <w:vMerge/>
          </w:tcPr>
          <w:p w:rsidR="003D041B" w:rsidRPr="00BC6188" w:rsidRDefault="003D041B">
            <w:pPr>
              <w:jc w:val="center"/>
              <w:rPr>
                <w:rFonts w:ascii="Verdana" w:hAnsi="Verdana"/>
                <w:b/>
                <w:sz w:val="18"/>
                <w:szCs w:val="18"/>
              </w:rPr>
            </w:pPr>
          </w:p>
        </w:tc>
        <w:tc>
          <w:tcPr>
            <w:tcW w:w="1559" w:type="dxa"/>
            <w:vMerge/>
          </w:tcPr>
          <w:p w:rsidR="003D041B" w:rsidRPr="00BC6188" w:rsidRDefault="003D041B">
            <w:pPr>
              <w:jc w:val="center"/>
              <w:rPr>
                <w:rFonts w:ascii="Verdana" w:hAnsi="Verdana"/>
                <w:b/>
                <w:sz w:val="18"/>
                <w:szCs w:val="18"/>
              </w:rPr>
            </w:pPr>
          </w:p>
        </w:tc>
        <w:tc>
          <w:tcPr>
            <w:tcW w:w="2127" w:type="dxa"/>
            <w:vMerge/>
          </w:tcPr>
          <w:p w:rsidR="003D041B" w:rsidRPr="00BC6188" w:rsidRDefault="003D041B">
            <w:pPr>
              <w:jc w:val="center"/>
              <w:rPr>
                <w:rFonts w:ascii="Verdana" w:hAnsi="Verdana"/>
                <w:b/>
                <w:sz w:val="18"/>
                <w:szCs w:val="18"/>
              </w:rPr>
            </w:pPr>
          </w:p>
        </w:tc>
      </w:tr>
      <w:tr w:rsidR="00310B66" w:rsidRPr="00BF309B" w:rsidTr="00BC6188">
        <w:trPr>
          <w:cantSplit/>
          <w:trHeight w:val="467"/>
        </w:trPr>
        <w:tc>
          <w:tcPr>
            <w:tcW w:w="993" w:type="dxa"/>
          </w:tcPr>
          <w:p w:rsidR="00310B66" w:rsidRDefault="00310B66">
            <w:pPr>
              <w:jc w:val="center"/>
              <w:rPr>
                <w:sz w:val="20"/>
                <w:szCs w:val="20"/>
              </w:rPr>
            </w:pPr>
          </w:p>
          <w:p w:rsidR="00310B66" w:rsidRDefault="00310B66">
            <w:pPr>
              <w:jc w:val="center"/>
              <w:rPr>
                <w:sz w:val="20"/>
                <w:szCs w:val="20"/>
              </w:rPr>
            </w:pPr>
            <w:r>
              <w:rPr>
                <w:sz w:val="20"/>
                <w:szCs w:val="20"/>
              </w:rPr>
              <w:t>492210</w:t>
            </w:r>
          </w:p>
        </w:tc>
        <w:tc>
          <w:tcPr>
            <w:tcW w:w="1134" w:type="dxa"/>
          </w:tcPr>
          <w:p w:rsidR="00310B66" w:rsidRDefault="00310B66">
            <w:pPr>
              <w:jc w:val="center"/>
              <w:rPr>
                <w:sz w:val="20"/>
                <w:szCs w:val="20"/>
              </w:rPr>
            </w:pPr>
          </w:p>
          <w:p w:rsidR="00310B66" w:rsidRDefault="00310B66">
            <w:pPr>
              <w:jc w:val="center"/>
              <w:rPr>
                <w:sz w:val="20"/>
                <w:szCs w:val="20"/>
              </w:rPr>
            </w:pPr>
            <w:r>
              <w:rPr>
                <w:sz w:val="20"/>
                <w:szCs w:val="20"/>
              </w:rPr>
              <w:t>492210</w:t>
            </w:r>
          </w:p>
        </w:tc>
        <w:tc>
          <w:tcPr>
            <w:tcW w:w="4819" w:type="dxa"/>
          </w:tcPr>
          <w:p w:rsidR="00310B66" w:rsidRDefault="00310B66" w:rsidP="00247CE8">
            <w:pPr>
              <w:rPr>
                <w:sz w:val="20"/>
                <w:szCs w:val="20"/>
              </w:rPr>
            </w:pPr>
          </w:p>
          <w:p w:rsidR="00310B66" w:rsidRDefault="00310B66" w:rsidP="00247CE8">
            <w:pPr>
              <w:rPr>
                <w:sz w:val="20"/>
                <w:szCs w:val="20"/>
              </w:rPr>
            </w:pPr>
            <w:r>
              <w:rPr>
                <w:sz w:val="20"/>
                <w:szCs w:val="20"/>
              </w:rPr>
              <w:t xml:space="preserve">Servicio de Mudanzas </w:t>
            </w:r>
          </w:p>
        </w:tc>
        <w:tc>
          <w:tcPr>
            <w:tcW w:w="1559" w:type="dxa"/>
            <w:vMerge w:val="restart"/>
          </w:tcPr>
          <w:p w:rsidR="00310B66" w:rsidRDefault="00310B66" w:rsidP="009D068A">
            <w:pPr>
              <w:jc w:val="center"/>
              <w:rPr>
                <w:b/>
                <w:sz w:val="20"/>
                <w:szCs w:val="20"/>
              </w:rPr>
            </w:pPr>
          </w:p>
          <w:p w:rsidR="00310B66" w:rsidRDefault="00310B66" w:rsidP="009D068A">
            <w:pPr>
              <w:jc w:val="center"/>
              <w:rPr>
                <w:b/>
                <w:sz w:val="20"/>
                <w:szCs w:val="20"/>
              </w:rPr>
            </w:pPr>
          </w:p>
          <w:p w:rsidR="00310B66" w:rsidRDefault="00310B66" w:rsidP="009D068A">
            <w:pPr>
              <w:jc w:val="center"/>
              <w:rPr>
                <w:b/>
                <w:sz w:val="20"/>
                <w:szCs w:val="20"/>
              </w:rPr>
            </w:pPr>
          </w:p>
          <w:p w:rsidR="00310B66" w:rsidRDefault="00310B66" w:rsidP="009D068A">
            <w:pPr>
              <w:jc w:val="center"/>
              <w:rPr>
                <w:b/>
                <w:sz w:val="20"/>
                <w:szCs w:val="20"/>
              </w:rPr>
            </w:pPr>
          </w:p>
          <w:p w:rsidR="00310B66" w:rsidRDefault="00310B66" w:rsidP="009D068A">
            <w:pPr>
              <w:jc w:val="center"/>
              <w:rPr>
                <w:b/>
                <w:sz w:val="20"/>
                <w:szCs w:val="20"/>
              </w:rPr>
            </w:pPr>
          </w:p>
          <w:p w:rsidR="00310B66" w:rsidRDefault="00310B66" w:rsidP="009D068A">
            <w:pPr>
              <w:jc w:val="center"/>
              <w:rPr>
                <w:b/>
                <w:sz w:val="20"/>
                <w:szCs w:val="20"/>
              </w:rPr>
            </w:pPr>
          </w:p>
          <w:p w:rsidR="00310B66" w:rsidRDefault="00310B66" w:rsidP="009D068A">
            <w:pPr>
              <w:jc w:val="center"/>
              <w:rPr>
                <w:b/>
                <w:sz w:val="20"/>
                <w:szCs w:val="20"/>
              </w:rPr>
            </w:pPr>
          </w:p>
          <w:p w:rsidR="00310B66" w:rsidRDefault="00310B66" w:rsidP="009D068A">
            <w:pPr>
              <w:jc w:val="center"/>
              <w:rPr>
                <w:b/>
                <w:sz w:val="20"/>
                <w:szCs w:val="20"/>
              </w:rPr>
            </w:pPr>
          </w:p>
          <w:p w:rsidR="00310B66" w:rsidRDefault="00310B66" w:rsidP="009D068A">
            <w:pPr>
              <w:jc w:val="center"/>
              <w:rPr>
                <w:b/>
                <w:sz w:val="20"/>
                <w:szCs w:val="20"/>
              </w:rPr>
            </w:pPr>
          </w:p>
          <w:p w:rsidR="00310B66" w:rsidRDefault="00310B66" w:rsidP="009D068A">
            <w:pPr>
              <w:jc w:val="center"/>
              <w:rPr>
                <w:b/>
                <w:sz w:val="20"/>
                <w:szCs w:val="20"/>
              </w:rPr>
            </w:pPr>
            <w:r>
              <w:rPr>
                <w:b/>
                <w:sz w:val="20"/>
                <w:szCs w:val="20"/>
              </w:rPr>
              <w:t>2%</w:t>
            </w:r>
          </w:p>
          <w:p w:rsidR="00310B66" w:rsidRDefault="00310B66" w:rsidP="009D068A">
            <w:pPr>
              <w:jc w:val="center"/>
              <w:rPr>
                <w:b/>
                <w:sz w:val="20"/>
                <w:szCs w:val="20"/>
              </w:rPr>
            </w:pPr>
          </w:p>
          <w:p w:rsidR="00310B66" w:rsidRDefault="00310B66" w:rsidP="009D068A">
            <w:pPr>
              <w:jc w:val="center"/>
              <w:rPr>
                <w:b/>
                <w:sz w:val="20"/>
                <w:szCs w:val="20"/>
              </w:rPr>
            </w:pPr>
          </w:p>
          <w:p w:rsidR="00310B66" w:rsidRPr="00446213" w:rsidRDefault="00310B66" w:rsidP="009D068A">
            <w:pPr>
              <w:jc w:val="center"/>
              <w:rPr>
                <w:b/>
                <w:sz w:val="20"/>
                <w:szCs w:val="20"/>
              </w:rPr>
            </w:pPr>
          </w:p>
        </w:tc>
        <w:tc>
          <w:tcPr>
            <w:tcW w:w="2127" w:type="dxa"/>
            <w:vMerge w:val="restart"/>
          </w:tcPr>
          <w:p w:rsidR="00310B66" w:rsidRPr="00310B66" w:rsidRDefault="00310B66" w:rsidP="00A56AA5">
            <w:pPr>
              <w:jc w:val="center"/>
              <w:rPr>
                <w:rFonts w:ascii="Verdana" w:hAnsi="Verdana"/>
                <w:sz w:val="28"/>
                <w:szCs w:val="28"/>
                <w:lang w:val="es-AR"/>
              </w:rPr>
            </w:pPr>
          </w:p>
          <w:p w:rsidR="00310B66" w:rsidRPr="00310B66" w:rsidRDefault="00310B66" w:rsidP="00A56AA5">
            <w:pPr>
              <w:jc w:val="center"/>
              <w:rPr>
                <w:rFonts w:ascii="Verdana" w:hAnsi="Verdana"/>
                <w:sz w:val="28"/>
                <w:szCs w:val="28"/>
                <w:lang w:val="es-AR"/>
              </w:rPr>
            </w:pPr>
          </w:p>
          <w:p w:rsidR="00310B66" w:rsidRPr="00310B66" w:rsidRDefault="00310B66" w:rsidP="00A56AA5">
            <w:pPr>
              <w:jc w:val="center"/>
              <w:rPr>
                <w:rFonts w:ascii="Verdana" w:hAnsi="Verdana"/>
                <w:sz w:val="28"/>
                <w:szCs w:val="28"/>
                <w:lang w:val="es-AR"/>
              </w:rPr>
            </w:pPr>
          </w:p>
          <w:p w:rsidR="00310B66" w:rsidRPr="00310B66" w:rsidRDefault="00310B66" w:rsidP="00A56AA5">
            <w:pPr>
              <w:jc w:val="center"/>
              <w:rPr>
                <w:rFonts w:ascii="Verdana" w:hAnsi="Verdana"/>
                <w:sz w:val="28"/>
                <w:szCs w:val="28"/>
                <w:lang w:val="es-AR"/>
              </w:rPr>
            </w:pPr>
          </w:p>
          <w:p w:rsidR="00310B66" w:rsidRPr="00310B66" w:rsidRDefault="00310B66" w:rsidP="00A56AA5">
            <w:pPr>
              <w:jc w:val="center"/>
              <w:rPr>
                <w:rFonts w:ascii="Verdana" w:hAnsi="Verdana"/>
                <w:sz w:val="28"/>
                <w:szCs w:val="28"/>
                <w:lang w:val="es-AR"/>
              </w:rPr>
            </w:pPr>
          </w:p>
          <w:p w:rsidR="00310B66" w:rsidRPr="00310B66" w:rsidRDefault="00310B66" w:rsidP="00A56AA5">
            <w:pPr>
              <w:jc w:val="center"/>
              <w:rPr>
                <w:rFonts w:ascii="Verdana" w:hAnsi="Verdana"/>
                <w:sz w:val="28"/>
                <w:szCs w:val="28"/>
                <w:lang w:val="es-AR"/>
              </w:rPr>
            </w:pPr>
          </w:p>
          <w:p w:rsidR="00310B66" w:rsidRPr="00310B66" w:rsidRDefault="00310B66" w:rsidP="00A56AA5">
            <w:pPr>
              <w:jc w:val="center"/>
              <w:rPr>
                <w:rFonts w:ascii="Verdana" w:hAnsi="Verdana"/>
                <w:sz w:val="28"/>
                <w:szCs w:val="28"/>
                <w:lang w:val="es-AR"/>
              </w:rPr>
            </w:pPr>
          </w:p>
          <w:p w:rsidR="00310B66" w:rsidRPr="00310B66" w:rsidRDefault="00310B66" w:rsidP="00A56AA5">
            <w:pPr>
              <w:jc w:val="center"/>
              <w:rPr>
                <w:rFonts w:ascii="Verdana" w:hAnsi="Verdana"/>
                <w:sz w:val="28"/>
                <w:szCs w:val="28"/>
                <w:lang w:val="es-AR"/>
              </w:rPr>
            </w:pPr>
          </w:p>
          <w:p w:rsidR="00310B66" w:rsidRPr="00310B66" w:rsidRDefault="00310B66" w:rsidP="00A56AA5">
            <w:pPr>
              <w:jc w:val="center"/>
              <w:rPr>
                <w:rFonts w:ascii="Verdana" w:hAnsi="Verdana"/>
                <w:sz w:val="28"/>
                <w:szCs w:val="28"/>
                <w:lang w:val="es-AR"/>
              </w:rPr>
            </w:pPr>
          </w:p>
          <w:p w:rsidR="00310B66" w:rsidRDefault="00310B66" w:rsidP="00A56AA5">
            <w:pPr>
              <w:jc w:val="center"/>
              <w:rPr>
                <w:rFonts w:ascii="Verdana" w:hAnsi="Verdana"/>
                <w:sz w:val="28"/>
                <w:szCs w:val="28"/>
                <w:lang w:val="es-AR"/>
              </w:rPr>
            </w:pPr>
          </w:p>
          <w:p w:rsidR="003E14D7" w:rsidRPr="00310B66" w:rsidRDefault="003E14D7" w:rsidP="00A56AA5">
            <w:pPr>
              <w:jc w:val="center"/>
              <w:rPr>
                <w:rFonts w:ascii="Verdana" w:hAnsi="Verdana"/>
                <w:sz w:val="28"/>
                <w:szCs w:val="28"/>
                <w:lang w:val="es-AR"/>
              </w:rPr>
            </w:pPr>
          </w:p>
          <w:p w:rsidR="00310B66" w:rsidRPr="00310B66" w:rsidRDefault="00310B66" w:rsidP="00A56AA5">
            <w:pPr>
              <w:jc w:val="center"/>
              <w:rPr>
                <w:rFonts w:ascii="Verdana" w:hAnsi="Verdana"/>
                <w:sz w:val="28"/>
                <w:szCs w:val="28"/>
                <w:lang w:val="es-AR"/>
              </w:rPr>
            </w:pPr>
          </w:p>
          <w:p w:rsidR="00310B66" w:rsidRPr="00310B66" w:rsidRDefault="00310B66" w:rsidP="00A56AA5">
            <w:pPr>
              <w:jc w:val="center"/>
              <w:rPr>
                <w:rFonts w:ascii="Verdana" w:hAnsi="Verdana"/>
                <w:sz w:val="28"/>
                <w:szCs w:val="28"/>
                <w:lang w:val="es-AR"/>
              </w:rPr>
            </w:pPr>
          </w:p>
          <w:p w:rsidR="00310B66" w:rsidRPr="00310B66" w:rsidRDefault="00310B66" w:rsidP="00A56AA5">
            <w:pPr>
              <w:jc w:val="center"/>
              <w:rPr>
                <w:rFonts w:ascii="Verdana" w:hAnsi="Verdana"/>
                <w:b/>
                <w:sz w:val="28"/>
                <w:szCs w:val="28"/>
                <w:lang w:val="es-AR"/>
              </w:rPr>
            </w:pPr>
            <w:r w:rsidRPr="00310B66">
              <w:rPr>
                <w:rFonts w:ascii="Verdana" w:hAnsi="Verdana"/>
                <w:b/>
                <w:sz w:val="28"/>
                <w:szCs w:val="28"/>
                <w:lang w:val="es-AR"/>
              </w:rPr>
              <w:t xml:space="preserve">Ley 1682   </w:t>
            </w:r>
          </w:p>
          <w:p w:rsidR="00310B66" w:rsidRPr="00310B66" w:rsidRDefault="00310B66" w:rsidP="00A56AA5">
            <w:pPr>
              <w:jc w:val="center"/>
              <w:rPr>
                <w:rFonts w:ascii="Verdana" w:hAnsi="Verdana"/>
                <w:b/>
                <w:sz w:val="28"/>
                <w:szCs w:val="28"/>
                <w:lang w:val="es-AR"/>
              </w:rPr>
            </w:pPr>
            <w:r w:rsidRPr="00310B66">
              <w:rPr>
                <w:rFonts w:ascii="Verdana" w:hAnsi="Verdana"/>
                <w:b/>
                <w:sz w:val="28"/>
                <w:szCs w:val="28"/>
                <w:lang w:val="es-AR"/>
              </w:rPr>
              <w:t>R.G.</w:t>
            </w:r>
            <w:r>
              <w:rPr>
                <w:rFonts w:ascii="Verdana" w:hAnsi="Verdana"/>
                <w:b/>
                <w:sz w:val="28"/>
                <w:szCs w:val="28"/>
                <w:lang w:val="es-AR"/>
              </w:rPr>
              <w:t xml:space="preserve"> (</w:t>
            </w:r>
            <w:proofErr w:type="gramStart"/>
            <w:r>
              <w:rPr>
                <w:rFonts w:ascii="Verdana" w:hAnsi="Verdana"/>
                <w:b/>
                <w:sz w:val="28"/>
                <w:szCs w:val="28"/>
                <w:lang w:val="es-AR"/>
              </w:rPr>
              <w:t>DGR)</w:t>
            </w:r>
            <w:r w:rsidRPr="00310B66">
              <w:rPr>
                <w:rFonts w:ascii="Verdana" w:hAnsi="Verdana"/>
                <w:b/>
                <w:sz w:val="28"/>
                <w:szCs w:val="28"/>
                <w:lang w:val="es-AR"/>
              </w:rPr>
              <w:t xml:space="preserve">  25</w:t>
            </w:r>
            <w:proofErr w:type="gramEnd"/>
            <w:r w:rsidRPr="00310B66">
              <w:rPr>
                <w:rFonts w:ascii="Verdana" w:hAnsi="Verdana"/>
                <w:b/>
                <w:sz w:val="28"/>
                <w:szCs w:val="28"/>
                <w:lang w:val="es-AR"/>
              </w:rPr>
              <w:t xml:space="preserve">/2019    </w:t>
            </w:r>
          </w:p>
          <w:p w:rsidR="00310B66" w:rsidRPr="00310B66" w:rsidRDefault="00310B66" w:rsidP="00A56AA5">
            <w:pPr>
              <w:jc w:val="center"/>
              <w:rPr>
                <w:rFonts w:ascii="Verdana" w:hAnsi="Verdana"/>
                <w:b/>
                <w:bCs/>
                <w:sz w:val="28"/>
                <w:szCs w:val="28"/>
                <w:lang w:val="es-AR"/>
              </w:rPr>
            </w:pPr>
            <w:r w:rsidRPr="00310B66">
              <w:rPr>
                <w:rFonts w:ascii="Verdana" w:hAnsi="Verdana"/>
                <w:b/>
                <w:bCs/>
                <w:sz w:val="28"/>
                <w:szCs w:val="28"/>
                <w:lang w:val="es-AR"/>
              </w:rPr>
              <w:t>(Anexo)</w:t>
            </w:r>
          </w:p>
          <w:p w:rsidR="00310B66" w:rsidRPr="00310B66" w:rsidRDefault="00B77897" w:rsidP="00A56AA5">
            <w:pPr>
              <w:jc w:val="center"/>
              <w:rPr>
                <w:rFonts w:ascii="Verdana" w:hAnsi="Verdana"/>
                <w:sz w:val="28"/>
                <w:szCs w:val="28"/>
                <w:lang w:val="es-AR"/>
              </w:rPr>
            </w:pPr>
            <w:r>
              <w:rPr>
                <w:rFonts w:ascii="Verdana" w:hAnsi="Verdana"/>
                <w:sz w:val="28"/>
                <w:szCs w:val="28"/>
                <w:lang w:val="es-AR"/>
              </w:rPr>
              <w:t>(*)</w:t>
            </w:r>
          </w:p>
          <w:p w:rsidR="00310B66" w:rsidRPr="00310B66" w:rsidRDefault="00310B66" w:rsidP="00A56AA5">
            <w:pPr>
              <w:jc w:val="center"/>
              <w:rPr>
                <w:rFonts w:ascii="Verdana" w:hAnsi="Verdana"/>
                <w:sz w:val="28"/>
                <w:szCs w:val="28"/>
                <w:lang w:val="es-AR"/>
              </w:rPr>
            </w:pPr>
          </w:p>
        </w:tc>
      </w:tr>
      <w:tr w:rsidR="00310B66" w:rsidTr="00BC6188">
        <w:trPr>
          <w:cantSplit/>
          <w:trHeight w:val="390"/>
        </w:trPr>
        <w:tc>
          <w:tcPr>
            <w:tcW w:w="993" w:type="dxa"/>
          </w:tcPr>
          <w:p w:rsidR="00310B66" w:rsidRDefault="00310B66">
            <w:pPr>
              <w:jc w:val="center"/>
              <w:rPr>
                <w:sz w:val="20"/>
                <w:szCs w:val="20"/>
              </w:rPr>
            </w:pPr>
            <w:r>
              <w:rPr>
                <w:sz w:val="20"/>
                <w:szCs w:val="20"/>
              </w:rPr>
              <w:t>492221</w:t>
            </w:r>
          </w:p>
          <w:p w:rsidR="00310B66" w:rsidRDefault="00310B66">
            <w:pPr>
              <w:jc w:val="center"/>
              <w:rPr>
                <w:sz w:val="20"/>
                <w:szCs w:val="20"/>
              </w:rPr>
            </w:pPr>
          </w:p>
        </w:tc>
        <w:tc>
          <w:tcPr>
            <w:tcW w:w="1134" w:type="dxa"/>
          </w:tcPr>
          <w:p w:rsidR="00310B66" w:rsidRDefault="00310B66">
            <w:pPr>
              <w:jc w:val="center"/>
              <w:rPr>
                <w:sz w:val="20"/>
                <w:szCs w:val="20"/>
              </w:rPr>
            </w:pPr>
            <w:r>
              <w:rPr>
                <w:sz w:val="20"/>
                <w:szCs w:val="20"/>
              </w:rPr>
              <w:t>492221</w:t>
            </w:r>
          </w:p>
        </w:tc>
        <w:tc>
          <w:tcPr>
            <w:tcW w:w="4819" w:type="dxa"/>
          </w:tcPr>
          <w:p w:rsidR="00310B66" w:rsidRDefault="00310B66">
            <w:pPr>
              <w:rPr>
                <w:sz w:val="20"/>
                <w:szCs w:val="20"/>
              </w:rPr>
            </w:pPr>
            <w:r>
              <w:rPr>
                <w:sz w:val="20"/>
                <w:szCs w:val="20"/>
              </w:rPr>
              <w:t>Servicio de transporte automotor de cereales.</w:t>
            </w:r>
          </w:p>
        </w:tc>
        <w:tc>
          <w:tcPr>
            <w:tcW w:w="1559" w:type="dxa"/>
            <w:vMerge/>
          </w:tcPr>
          <w:p w:rsidR="00310B66" w:rsidRPr="00446213" w:rsidRDefault="00310B66" w:rsidP="009D068A">
            <w:pPr>
              <w:jc w:val="center"/>
              <w:rPr>
                <w:b/>
                <w:sz w:val="20"/>
                <w:szCs w:val="20"/>
              </w:rPr>
            </w:pPr>
          </w:p>
        </w:tc>
        <w:tc>
          <w:tcPr>
            <w:tcW w:w="2127" w:type="dxa"/>
            <w:vMerge/>
          </w:tcPr>
          <w:p w:rsidR="00310B66" w:rsidRDefault="00310B66">
            <w:pPr>
              <w:rPr>
                <w:sz w:val="20"/>
                <w:szCs w:val="20"/>
              </w:rPr>
            </w:pPr>
          </w:p>
        </w:tc>
      </w:tr>
      <w:tr w:rsidR="00310B66" w:rsidRPr="00BA7D73" w:rsidTr="00BC6188">
        <w:trPr>
          <w:cantSplit/>
          <w:trHeight w:val="474"/>
        </w:trPr>
        <w:tc>
          <w:tcPr>
            <w:tcW w:w="993" w:type="dxa"/>
          </w:tcPr>
          <w:p w:rsidR="00310B66" w:rsidRDefault="00310B66">
            <w:pPr>
              <w:jc w:val="center"/>
              <w:rPr>
                <w:sz w:val="20"/>
                <w:szCs w:val="20"/>
              </w:rPr>
            </w:pPr>
            <w:r>
              <w:rPr>
                <w:sz w:val="20"/>
                <w:szCs w:val="20"/>
              </w:rPr>
              <w:t>492229</w:t>
            </w:r>
          </w:p>
        </w:tc>
        <w:tc>
          <w:tcPr>
            <w:tcW w:w="1134" w:type="dxa"/>
          </w:tcPr>
          <w:p w:rsidR="00310B66" w:rsidRDefault="00310B66">
            <w:pPr>
              <w:jc w:val="center"/>
              <w:rPr>
                <w:sz w:val="20"/>
                <w:szCs w:val="20"/>
              </w:rPr>
            </w:pPr>
            <w:r>
              <w:rPr>
                <w:sz w:val="20"/>
                <w:szCs w:val="20"/>
              </w:rPr>
              <w:t>492229</w:t>
            </w:r>
          </w:p>
        </w:tc>
        <w:tc>
          <w:tcPr>
            <w:tcW w:w="4819" w:type="dxa"/>
          </w:tcPr>
          <w:p w:rsidR="00310B66" w:rsidRDefault="00310B66">
            <w:pPr>
              <w:rPr>
                <w:sz w:val="20"/>
                <w:szCs w:val="20"/>
              </w:rPr>
            </w:pPr>
            <w:r>
              <w:rPr>
                <w:sz w:val="20"/>
                <w:szCs w:val="20"/>
              </w:rPr>
              <w:t>Servicio de transporte automotor de mercaderías</w:t>
            </w:r>
          </w:p>
          <w:p w:rsidR="00310B66" w:rsidRPr="00BA7D73" w:rsidRDefault="00310B66">
            <w:pPr>
              <w:rPr>
                <w:sz w:val="20"/>
                <w:szCs w:val="20"/>
                <w:lang w:val="en-US"/>
              </w:rPr>
            </w:pPr>
            <w:r w:rsidRPr="00BA7D73">
              <w:rPr>
                <w:sz w:val="20"/>
                <w:szCs w:val="20"/>
                <w:lang w:val="en-US"/>
              </w:rPr>
              <w:t>a granel N.C.P.</w:t>
            </w:r>
          </w:p>
        </w:tc>
        <w:tc>
          <w:tcPr>
            <w:tcW w:w="1559" w:type="dxa"/>
            <w:vMerge/>
          </w:tcPr>
          <w:p w:rsidR="00310B66" w:rsidRPr="00446213" w:rsidRDefault="00310B66" w:rsidP="009D068A">
            <w:pPr>
              <w:jc w:val="center"/>
              <w:rPr>
                <w:b/>
                <w:sz w:val="20"/>
                <w:szCs w:val="20"/>
                <w:lang w:val="en-US"/>
              </w:rPr>
            </w:pPr>
          </w:p>
        </w:tc>
        <w:tc>
          <w:tcPr>
            <w:tcW w:w="2127" w:type="dxa"/>
            <w:vMerge/>
          </w:tcPr>
          <w:p w:rsidR="00310B66" w:rsidRPr="00BA7D73" w:rsidRDefault="00310B66">
            <w:pPr>
              <w:rPr>
                <w:sz w:val="20"/>
                <w:szCs w:val="20"/>
                <w:lang w:val="en-US"/>
              </w:rPr>
            </w:pPr>
          </w:p>
        </w:tc>
      </w:tr>
      <w:tr w:rsidR="00310B66" w:rsidRPr="00BA7D73" w:rsidTr="00BC6188">
        <w:trPr>
          <w:cantSplit/>
          <w:trHeight w:val="305"/>
        </w:trPr>
        <w:tc>
          <w:tcPr>
            <w:tcW w:w="993" w:type="dxa"/>
          </w:tcPr>
          <w:p w:rsidR="00310B66" w:rsidRPr="00BA7D73" w:rsidRDefault="00310B66">
            <w:pPr>
              <w:jc w:val="center"/>
              <w:rPr>
                <w:sz w:val="20"/>
                <w:szCs w:val="20"/>
                <w:lang w:val="en-US"/>
              </w:rPr>
            </w:pPr>
            <w:r>
              <w:rPr>
                <w:sz w:val="20"/>
                <w:szCs w:val="20"/>
                <w:lang w:val="en-US"/>
              </w:rPr>
              <w:t>492240</w:t>
            </w:r>
          </w:p>
        </w:tc>
        <w:tc>
          <w:tcPr>
            <w:tcW w:w="1134" w:type="dxa"/>
          </w:tcPr>
          <w:p w:rsidR="00310B66" w:rsidRDefault="00310B66">
            <w:pPr>
              <w:jc w:val="center"/>
              <w:rPr>
                <w:sz w:val="20"/>
                <w:szCs w:val="20"/>
                <w:lang w:val="en-US"/>
              </w:rPr>
            </w:pPr>
            <w:r>
              <w:rPr>
                <w:sz w:val="20"/>
                <w:szCs w:val="20"/>
                <w:lang w:val="en-US"/>
              </w:rPr>
              <w:t>492240</w:t>
            </w:r>
          </w:p>
          <w:p w:rsidR="00310B66" w:rsidRPr="00BA7D73" w:rsidRDefault="00310B66">
            <w:pPr>
              <w:jc w:val="center"/>
              <w:rPr>
                <w:sz w:val="20"/>
                <w:szCs w:val="20"/>
                <w:lang w:val="en-US"/>
              </w:rPr>
            </w:pPr>
          </w:p>
        </w:tc>
        <w:tc>
          <w:tcPr>
            <w:tcW w:w="4819" w:type="dxa"/>
          </w:tcPr>
          <w:p w:rsidR="00310B66" w:rsidRDefault="00310B66">
            <w:pPr>
              <w:rPr>
                <w:sz w:val="20"/>
                <w:szCs w:val="20"/>
                <w:lang w:val="es-ES_tradnl"/>
              </w:rPr>
            </w:pPr>
            <w:r w:rsidRPr="00BA7D73">
              <w:rPr>
                <w:sz w:val="20"/>
                <w:szCs w:val="20"/>
                <w:lang w:val="es-ES_tradnl"/>
              </w:rPr>
              <w:t>Servicio de transporte por cami</w:t>
            </w:r>
            <w:r>
              <w:rPr>
                <w:sz w:val="20"/>
                <w:szCs w:val="20"/>
                <w:lang w:val="es-ES_tradnl"/>
              </w:rPr>
              <w:t>ón cisterna</w:t>
            </w:r>
          </w:p>
          <w:p w:rsidR="00310B66" w:rsidRPr="00BA7D73" w:rsidRDefault="00310B66">
            <w:pPr>
              <w:rPr>
                <w:sz w:val="20"/>
                <w:szCs w:val="20"/>
                <w:lang w:val="es-ES_tradnl"/>
              </w:rPr>
            </w:pPr>
          </w:p>
        </w:tc>
        <w:tc>
          <w:tcPr>
            <w:tcW w:w="1559" w:type="dxa"/>
            <w:vMerge/>
          </w:tcPr>
          <w:p w:rsidR="00310B66" w:rsidRPr="00446213" w:rsidRDefault="00310B66" w:rsidP="009D068A">
            <w:pPr>
              <w:jc w:val="center"/>
              <w:rPr>
                <w:b/>
                <w:sz w:val="20"/>
                <w:szCs w:val="20"/>
                <w:lang w:val="es-ES_tradnl"/>
              </w:rPr>
            </w:pPr>
          </w:p>
        </w:tc>
        <w:tc>
          <w:tcPr>
            <w:tcW w:w="2127" w:type="dxa"/>
            <w:vMerge/>
          </w:tcPr>
          <w:p w:rsidR="00310B66" w:rsidRPr="00BA7D73" w:rsidRDefault="00310B66">
            <w:pPr>
              <w:rPr>
                <w:sz w:val="20"/>
                <w:szCs w:val="20"/>
                <w:lang w:val="es-ES_tradnl"/>
              </w:rPr>
            </w:pPr>
          </w:p>
        </w:tc>
      </w:tr>
      <w:tr w:rsidR="00310B66" w:rsidTr="00BC6188">
        <w:trPr>
          <w:cantSplit/>
          <w:trHeight w:val="426"/>
        </w:trPr>
        <w:tc>
          <w:tcPr>
            <w:tcW w:w="993" w:type="dxa"/>
          </w:tcPr>
          <w:p w:rsidR="00310B66" w:rsidRDefault="00310B66">
            <w:pPr>
              <w:jc w:val="center"/>
              <w:rPr>
                <w:sz w:val="20"/>
                <w:szCs w:val="20"/>
              </w:rPr>
            </w:pPr>
            <w:r>
              <w:rPr>
                <w:sz w:val="20"/>
                <w:szCs w:val="20"/>
              </w:rPr>
              <w:t>492230</w:t>
            </w:r>
          </w:p>
        </w:tc>
        <w:tc>
          <w:tcPr>
            <w:tcW w:w="1134" w:type="dxa"/>
          </w:tcPr>
          <w:p w:rsidR="00310B66" w:rsidRDefault="00310B66">
            <w:pPr>
              <w:jc w:val="center"/>
              <w:rPr>
                <w:sz w:val="20"/>
                <w:szCs w:val="20"/>
              </w:rPr>
            </w:pPr>
            <w:r>
              <w:rPr>
                <w:sz w:val="20"/>
                <w:szCs w:val="20"/>
              </w:rPr>
              <w:t>492230</w:t>
            </w:r>
          </w:p>
        </w:tc>
        <w:tc>
          <w:tcPr>
            <w:tcW w:w="4819" w:type="dxa"/>
          </w:tcPr>
          <w:p w:rsidR="00310B66" w:rsidRDefault="00310B66">
            <w:pPr>
              <w:rPr>
                <w:sz w:val="20"/>
                <w:szCs w:val="20"/>
              </w:rPr>
            </w:pPr>
            <w:r>
              <w:rPr>
                <w:sz w:val="20"/>
                <w:szCs w:val="20"/>
              </w:rPr>
              <w:t>Servicio de transporte automotor de animales</w:t>
            </w:r>
          </w:p>
          <w:p w:rsidR="00310B66" w:rsidRDefault="00310B66">
            <w:pPr>
              <w:rPr>
                <w:sz w:val="20"/>
                <w:szCs w:val="20"/>
              </w:rPr>
            </w:pPr>
          </w:p>
        </w:tc>
        <w:tc>
          <w:tcPr>
            <w:tcW w:w="1559" w:type="dxa"/>
            <w:vMerge/>
          </w:tcPr>
          <w:p w:rsidR="00310B66" w:rsidRPr="00446213" w:rsidRDefault="00310B66" w:rsidP="009D068A">
            <w:pPr>
              <w:jc w:val="center"/>
              <w:rPr>
                <w:b/>
                <w:sz w:val="20"/>
                <w:szCs w:val="20"/>
              </w:rPr>
            </w:pPr>
          </w:p>
        </w:tc>
        <w:tc>
          <w:tcPr>
            <w:tcW w:w="2127" w:type="dxa"/>
            <w:vMerge/>
          </w:tcPr>
          <w:p w:rsidR="00310B66" w:rsidRDefault="00310B66">
            <w:pPr>
              <w:rPr>
                <w:sz w:val="20"/>
                <w:szCs w:val="20"/>
              </w:rPr>
            </w:pPr>
          </w:p>
        </w:tc>
      </w:tr>
      <w:tr w:rsidR="00310B66" w:rsidTr="00BC6188">
        <w:trPr>
          <w:cantSplit/>
          <w:trHeight w:val="368"/>
        </w:trPr>
        <w:tc>
          <w:tcPr>
            <w:tcW w:w="993" w:type="dxa"/>
          </w:tcPr>
          <w:p w:rsidR="00310B66" w:rsidRDefault="00310B66">
            <w:pPr>
              <w:jc w:val="center"/>
              <w:rPr>
                <w:sz w:val="20"/>
                <w:szCs w:val="20"/>
              </w:rPr>
            </w:pPr>
            <w:r>
              <w:rPr>
                <w:sz w:val="20"/>
                <w:szCs w:val="20"/>
              </w:rPr>
              <w:t>492280</w:t>
            </w:r>
          </w:p>
          <w:p w:rsidR="00310B66" w:rsidRDefault="00310B66">
            <w:pPr>
              <w:jc w:val="center"/>
              <w:rPr>
                <w:sz w:val="20"/>
                <w:szCs w:val="20"/>
              </w:rPr>
            </w:pPr>
          </w:p>
        </w:tc>
        <w:tc>
          <w:tcPr>
            <w:tcW w:w="1134" w:type="dxa"/>
          </w:tcPr>
          <w:p w:rsidR="00310B66" w:rsidRPr="00CD1C58" w:rsidRDefault="00310B66" w:rsidP="00CD1C58">
            <w:pPr>
              <w:jc w:val="center"/>
              <w:rPr>
                <w:sz w:val="20"/>
                <w:szCs w:val="20"/>
              </w:rPr>
            </w:pPr>
            <w:r>
              <w:rPr>
                <w:sz w:val="20"/>
                <w:szCs w:val="20"/>
              </w:rPr>
              <w:t>492280</w:t>
            </w:r>
          </w:p>
        </w:tc>
        <w:tc>
          <w:tcPr>
            <w:tcW w:w="4819" w:type="dxa"/>
          </w:tcPr>
          <w:p w:rsidR="00310B66" w:rsidRDefault="00310B66" w:rsidP="00CD1C58">
            <w:pPr>
              <w:rPr>
                <w:sz w:val="20"/>
                <w:szCs w:val="20"/>
              </w:rPr>
            </w:pPr>
            <w:r>
              <w:rPr>
                <w:sz w:val="20"/>
                <w:szCs w:val="20"/>
              </w:rPr>
              <w:t xml:space="preserve">Servicio de transporte automotor urbano de </w:t>
            </w:r>
            <w:proofErr w:type="gramStart"/>
            <w:r>
              <w:rPr>
                <w:sz w:val="20"/>
                <w:szCs w:val="20"/>
              </w:rPr>
              <w:t>cagas  NCP</w:t>
            </w:r>
            <w:proofErr w:type="gramEnd"/>
          </w:p>
        </w:tc>
        <w:tc>
          <w:tcPr>
            <w:tcW w:w="1559" w:type="dxa"/>
            <w:vMerge/>
          </w:tcPr>
          <w:p w:rsidR="00310B66" w:rsidRPr="00446213" w:rsidRDefault="00310B66" w:rsidP="009D068A">
            <w:pPr>
              <w:jc w:val="center"/>
              <w:rPr>
                <w:b/>
                <w:sz w:val="20"/>
                <w:szCs w:val="20"/>
              </w:rPr>
            </w:pPr>
          </w:p>
        </w:tc>
        <w:tc>
          <w:tcPr>
            <w:tcW w:w="2127" w:type="dxa"/>
            <w:vMerge/>
          </w:tcPr>
          <w:p w:rsidR="00310B66" w:rsidRDefault="00310B66">
            <w:pPr>
              <w:rPr>
                <w:sz w:val="20"/>
                <w:szCs w:val="20"/>
              </w:rPr>
            </w:pPr>
          </w:p>
        </w:tc>
      </w:tr>
      <w:tr w:rsidR="00310B66" w:rsidTr="00BC6188">
        <w:trPr>
          <w:cantSplit/>
          <w:trHeight w:val="345"/>
        </w:trPr>
        <w:tc>
          <w:tcPr>
            <w:tcW w:w="993" w:type="dxa"/>
          </w:tcPr>
          <w:p w:rsidR="00310B66" w:rsidRDefault="00310B66">
            <w:pPr>
              <w:jc w:val="center"/>
              <w:rPr>
                <w:sz w:val="20"/>
                <w:szCs w:val="20"/>
              </w:rPr>
            </w:pPr>
            <w:r>
              <w:rPr>
                <w:sz w:val="20"/>
                <w:szCs w:val="20"/>
              </w:rPr>
              <w:t>492250</w:t>
            </w:r>
          </w:p>
        </w:tc>
        <w:tc>
          <w:tcPr>
            <w:tcW w:w="1134" w:type="dxa"/>
          </w:tcPr>
          <w:p w:rsidR="00310B66" w:rsidRDefault="00310B66">
            <w:pPr>
              <w:jc w:val="center"/>
              <w:rPr>
                <w:sz w:val="20"/>
                <w:szCs w:val="20"/>
              </w:rPr>
            </w:pPr>
            <w:r>
              <w:rPr>
                <w:sz w:val="20"/>
                <w:szCs w:val="20"/>
              </w:rPr>
              <w:t>492250</w:t>
            </w:r>
          </w:p>
        </w:tc>
        <w:tc>
          <w:tcPr>
            <w:tcW w:w="4819" w:type="dxa"/>
          </w:tcPr>
          <w:p w:rsidR="00310B66" w:rsidRDefault="00310B66" w:rsidP="00FD19AC">
            <w:pPr>
              <w:rPr>
                <w:sz w:val="20"/>
                <w:szCs w:val="20"/>
              </w:rPr>
            </w:pPr>
            <w:r>
              <w:rPr>
                <w:sz w:val="20"/>
                <w:szCs w:val="20"/>
              </w:rPr>
              <w:t>Servicio de transporte automotor de mercaderías y sustancias peligrosas.</w:t>
            </w:r>
          </w:p>
        </w:tc>
        <w:tc>
          <w:tcPr>
            <w:tcW w:w="1559" w:type="dxa"/>
            <w:vMerge/>
          </w:tcPr>
          <w:p w:rsidR="00310B66" w:rsidRPr="00446213" w:rsidRDefault="00310B66" w:rsidP="009D068A">
            <w:pPr>
              <w:jc w:val="center"/>
              <w:rPr>
                <w:b/>
                <w:sz w:val="20"/>
                <w:szCs w:val="20"/>
              </w:rPr>
            </w:pPr>
          </w:p>
        </w:tc>
        <w:tc>
          <w:tcPr>
            <w:tcW w:w="2127" w:type="dxa"/>
            <w:vMerge/>
          </w:tcPr>
          <w:p w:rsidR="00310B66" w:rsidRDefault="00310B66">
            <w:pPr>
              <w:rPr>
                <w:sz w:val="20"/>
                <w:szCs w:val="20"/>
              </w:rPr>
            </w:pPr>
          </w:p>
        </w:tc>
      </w:tr>
      <w:tr w:rsidR="00310B66" w:rsidTr="00BC6188">
        <w:trPr>
          <w:cantSplit/>
          <w:trHeight w:val="345"/>
        </w:trPr>
        <w:tc>
          <w:tcPr>
            <w:tcW w:w="993" w:type="dxa"/>
          </w:tcPr>
          <w:p w:rsidR="00310B66" w:rsidRDefault="00310B66">
            <w:pPr>
              <w:jc w:val="center"/>
              <w:rPr>
                <w:sz w:val="20"/>
                <w:szCs w:val="20"/>
              </w:rPr>
            </w:pPr>
            <w:r>
              <w:rPr>
                <w:sz w:val="20"/>
                <w:szCs w:val="20"/>
              </w:rPr>
              <w:t>492291</w:t>
            </w:r>
          </w:p>
        </w:tc>
        <w:tc>
          <w:tcPr>
            <w:tcW w:w="1134" w:type="dxa"/>
          </w:tcPr>
          <w:p w:rsidR="00310B66" w:rsidRDefault="00310B66">
            <w:pPr>
              <w:jc w:val="center"/>
              <w:rPr>
                <w:sz w:val="20"/>
                <w:szCs w:val="20"/>
              </w:rPr>
            </w:pPr>
            <w:r>
              <w:rPr>
                <w:sz w:val="20"/>
                <w:szCs w:val="20"/>
              </w:rPr>
              <w:t>492291</w:t>
            </w:r>
          </w:p>
        </w:tc>
        <w:tc>
          <w:tcPr>
            <w:tcW w:w="4819" w:type="dxa"/>
          </w:tcPr>
          <w:p w:rsidR="00310B66" w:rsidRDefault="00310B66" w:rsidP="00FD19AC">
            <w:pPr>
              <w:rPr>
                <w:sz w:val="20"/>
                <w:szCs w:val="20"/>
              </w:rPr>
            </w:pPr>
            <w:r>
              <w:rPr>
                <w:sz w:val="20"/>
                <w:szCs w:val="20"/>
              </w:rPr>
              <w:t>Servicio de transporte automotor de petróleo y gas.</w:t>
            </w:r>
          </w:p>
        </w:tc>
        <w:tc>
          <w:tcPr>
            <w:tcW w:w="1559" w:type="dxa"/>
            <w:vMerge/>
          </w:tcPr>
          <w:p w:rsidR="00310B66" w:rsidRPr="00446213" w:rsidRDefault="00310B66" w:rsidP="009D068A">
            <w:pPr>
              <w:jc w:val="center"/>
              <w:rPr>
                <w:b/>
                <w:sz w:val="20"/>
                <w:szCs w:val="20"/>
              </w:rPr>
            </w:pPr>
          </w:p>
        </w:tc>
        <w:tc>
          <w:tcPr>
            <w:tcW w:w="2127" w:type="dxa"/>
            <w:vMerge/>
          </w:tcPr>
          <w:p w:rsidR="00310B66" w:rsidRDefault="00310B66">
            <w:pPr>
              <w:rPr>
                <w:sz w:val="20"/>
                <w:szCs w:val="20"/>
              </w:rPr>
            </w:pPr>
          </w:p>
        </w:tc>
      </w:tr>
      <w:tr w:rsidR="00310B66" w:rsidTr="00BC6188">
        <w:trPr>
          <w:cantSplit/>
          <w:trHeight w:val="304"/>
        </w:trPr>
        <w:tc>
          <w:tcPr>
            <w:tcW w:w="993" w:type="dxa"/>
          </w:tcPr>
          <w:p w:rsidR="00310B66" w:rsidRDefault="00310B66" w:rsidP="00247CE8">
            <w:pPr>
              <w:jc w:val="center"/>
              <w:rPr>
                <w:sz w:val="20"/>
                <w:szCs w:val="20"/>
              </w:rPr>
            </w:pPr>
            <w:r>
              <w:rPr>
                <w:sz w:val="20"/>
                <w:szCs w:val="20"/>
              </w:rPr>
              <w:t>492299</w:t>
            </w:r>
          </w:p>
        </w:tc>
        <w:tc>
          <w:tcPr>
            <w:tcW w:w="1134" w:type="dxa"/>
          </w:tcPr>
          <w:p w:rsidR="00310B66" w:rsidRDefault="00310B66" w:rsidP="00247CE8">
            <w:pPr>
              <w:jc w:val="center"/>
              <w:rPr>
                <w:sz w:val="20"/>
                <w:szCs w:val="20"/>
              </w:rPr>
            </w:pPr>
            <w:r>
              <w:rPr>
                <w:sz w:val="20"/>
                <w:szCs w:val="20"/>
              </w:rPr>
              <w:t>492299</w:t>
            </w:r>
          </w:p>
        </w:tc>
        <w:tc>
          <w:tcPr>
            <w:tcW w:w="4819" w:type="dxa"/>
          </w:tcPr>
          <w:p w:rsidR="00310B66" w:rsidRDefault="00310B66" w:rsidP="00247CE8">
            <w:pPr>
              <w:rPr>
                <w:sz w:val="20"/>
                <w:szCs w:val="20"/>
              </w:rPr>
            </w:pPr>
            <w:r>
              <w:rPr>
                <w:sz w:val="20"/>
                <w:szCs w:val="20"/>
              </w:rPr>
              <w:t xml:space="preserve">Servicio de transporte </w:t>
            </w:r>
            <w:proofErr w:type="gramStart"/>
            <w:r>
              <w:rPr>
                <w:sz w:val="20"/>
                <w:szCs w:val="20"/>
              </w:rPr>
              <w:t>automotor  de</w:t>
            </w:r>
            <w:proofErr w:type="gramEnd"/>
            <w:r>
              <w:rPr>
                <w:sz w:val="20"/>
                <w:szCs w:val="20"/>
              </w:rPr>
              <w:t xml:space="preserve"> cargas  NCP</w:t>
            </w:r>
          </w:p>
        </w:tc>
        <w:tc>
          <w:tcPr>
            <w:tcW w:w="1559" w:type="dxa"/>
            <w:vMerge/>
          </w:tcPr>
          <w:p w:rsidR="00310B66" w:rsidRPr="00446213" w:rsidRDefault="00310B66" w:rsidP="009D068A">
            <w:pPr>
              <w:jc w:val="center"/>
              <w:rPr>
                <w:b/>
                <w:sz w:val="20"/>
                <w:szCs w:val="20"/>
              </w:rPr>
            </w:pPr>
          </w:p>
        </w:tc>
        <w:tc>
          <w:tcPr>
            <w:tcW w:w="2127" w:type="dxa"/>
            <w:vMerge/>
          </w:tcPr>
          <w:p w:rsidR="00310B66" w:rsidRDefault="00310B66" w:rsidP="00247CE8">
            <w:pPr>
              <w:rPr>
                <w:sz w:val="20"/>
                <w:szCs w:val="20"/>
              </w:rPr>
            </w:pPr>
          </w:p>
        </w:tc>
      </w:tr>
      <w:tr w:rsidR="00310B66" w:rsidTr="00310B66">
        <w:trPr>
          <w:cantSplit/>
          <w:trHeight w:val="585"/>
        </w:trPr>
        <w:tc>
          <w:tcPr>
            <w:tcW w:w="993" w:type="dxa"/>
          </w:tcPr>
          <w:p w:rsidR="00310B66" w:rsidRDefault="00310B66" w:rsidP="00247CE8">
            <w:pPr>
              <w:jc w:val="center"/>
              <w:rPr>
                <w:sz w:val="20"/>
                <w:szCs w:val="20"/>
              </w:rPr>
            </w:pPr>
            <w:r>
              <w:rPr>
                <w:sz w:val="20"/>
                <w:szCs w:val="20"/>
              </w:rPr>
              <w:t>521010</w:t>
            </w:r>
          </w:p>
        </w:tc>
        <w:tc>
          <w:tcPr>
            <w:tcW w:w="1134" w:type="dxa"/>
          </w:tcPr>
          <w:p w:rsidR="00310B66" w:rsidRDefault="00310B66" w:rsidP="00310B66">
            <w:pPr>
              <w:jc w:val="center"/>
              <w:rPr>
                <w:sz w:val="20"/>
                <w:szCs w:val="20"/>
              </w:rPr>
            </w:pPr>
            <w:r>
              <w:rPr>
                <w:sz w:val="20"/>
                <w:szCs w:val="20"/>
              </w:rPr>
              <w:t>521010</w:t>
            </w:r>
          </w:p>
          <w:p w:rsidR="00310B66" w:rsidRDefault="00310B66" w:rsidP="00310B66">
            <w:pPr>
              <w:jc w:val="center"/>
              <w:rPr>
                <w:sz w:val="20"/>
                <w:szCs w:val="20"/>
              </w:rPr>
            </w:pPr>
          </w:p>
          <w:p w:rsidR="00310B66" w:rsidRDefault="00310B66" w:rsidP="00310B66">
            <w:pPr>
              <w:jc w:val="center"/>
              <w:rPr>
                <w:sz w:val="20"/>
                <w:szCs w:val="20"/>
              </w:rPr>
            </w:pPr>
          </w:p>
          <w:p w:rsidR="00310B66" w:rsidRDefault="00310B66" w:rsidP="00310B66">
            <w:pPr>
              <w:jc w:val="center"/>
              <w:rPr>
                <w:sz w:val="20"/>
                <w:szCs w:val="20"/>
              </w:rPr>
            </w:pPr>
          </w:p>
        </w:tc>
        <w:tc>
          <w:tcPr>
            <w:tcW w:w="4819" w:type="dxa"/>
          </w:tcPr>
          <w:p w:rsidR="00310B66" w:rsidRDefault="00310B66" w:rsidP="00247CE8">
            <w:pPr>
              <w:rPr>
                <w:sz w:val="20"/>
                <w:szCs w:val="20"/>
              </w:rPr>
            </w:pPr>
            <w:r>
              <w:rPr>
                <w:sz w:val="20"/>
                <w:szCs w:val="20"/>
              </w:rPr>
              <w:t>Servicios de manipulación de cargas en el ámbito terrestre.</w:t>
            </w:r>
          </w:p>
        </w:tc>
        <w:tc>
          <w:tcPr>
            <w:tcW w:w="1559" w:type="dxa"/>
            <w:vMerge/>
          </w:tcPr>
          <w:p w:rsidR="00310B66" w:rsidRPr="00446213" w:rsidRDefault="00310B66" w:rsidP="009D068A">
            <w:pPr>
              <w:jc w:val="center"/>
              <w:rPr>
                <w:b/>
                <w:sz w:val="20"/>
                <w:szCs w:val="20"/>
              </w:rPr>
            </w:pPr>
          </w:p>
        </w:tc>
        <w:tc>
          <w:tcPr>
            <w:tcW w:w="2127" w:type="dxa"/>
            <w:vMerge/>
          </w:tcPr>
          <w:p w:rsidR="00310B66" w:rsidRDefault="00310B66" w:rsidP="00247CE8">
            <w:pPr>
              <w:rPr>
                <w:sz w:val="20"/>
                <w:szCs w:val="20"/>
              </w:rPr>
            </w:pPr>
          </w:p>
        </w:tc>
      </w:tr>
      <w:tr w:rsidR="00310B66" w:rsidTr="00BC6188">
        <w:trPr>
          <w:cantSplit/>
          <w:trHeight w:val="345"/>
        </w:trPr>
        <w:tc>
          <w:tcPr>
            <w:tcW w:w="993" w:type="dxa"/>
          </w:tcPr>
          <w:p w:rsidR="00310B66" w:rsidRDefault="00310B66" w:rsidP="00247CE8">
            <w:pPr>
              <w:jc w:val="center"/>
              <w:rPr>
                <w:sz w:val="20"/>
                <w:szCs w:val="20"/>
              </w:rPr>
            </w:pPr>
            <w:r>
              <w:rPr>
                <w:sz w:val="20"/>
                <w:szCs w:val="20"/>
              </w:rPr>
              <w:t>522010</w:t>
            </w:r>
          </w:p>
        </w:tc>
        <w:tc>
          <w:tcPr>
            <w:tcW w:w="1134" w:type="dxa"/>
          </w:tcPr>
          <w:p w:rsidR="00310B66" w:rsidRDefault="00310B66" w:rsidP="00247CE8">
            <w:pPr>
              <w:jc w:val="center"/>
              <w:rPr>
                <w:sz w:val="20"/>
                <w:szCs w:val="20"/>
              </w:rPr>
            </w:pPr>
            <w:r>
              <w:rPr>
                <w:sz w:val="20"/>
                <w:szCs w:val="20"/>
              </w:rPr>
              <w:t>522010</w:t>
            </w:r>
          </w:p>
        </w:tc>
        <w:tc>
          <w:tcPr>
            <w:tcW w:w="4819" w:type="dxa"/>
          </w:tcPr>
          <w:p w:rsidR="00310B66" w:rsidRDefault="00310B66" w:rsidP="00247CE8">
            <w:pPr>
              <w:rPr>
                <w:sz w:val="20"/>
                <w:szCs w:val="20"/>
              </w:rPr>
            </w:pPr>
            <w:r>
              <w:rPr>
                <w:sz w:val="20"/>
                <w:szCs w:val="20"/>
              </w:rPr>
              <w:t>Servicios de almacenamiento y depósito en silos</w:t>
            </w:r>
          </w:p>
        </w:tc>
        <w:tc>
          <w:tcPr>
            <w:tcW w:w="1559" w:type="dxa"/>
            <w:vMerge w:val="restart"/>
          </w:tcPr>
          <w:p w:rsidR="00310B66" w:rsidRDefault="00310B66" w:rsidP="009D068A">
            <w:pPr>
              <w:jc w:val="center"/>
              <w:rPr>
                <w:b/>
                <w:sz w:val="20"/>
                <w:szCs w:val="20"/>
              </w:rPr>
            </w:pPr>
          </w:p>
          <w:p w:rsidR="00310B66" w:rsidRDefault="00310B66" w:rsidP="009D068A">
            <w:pPr>
              <w:jc w:val="center"/>
              <w:rPr>
                <w:b/>
                <w:sz w:val="20"/>
                <w:szCs w:val="20"/>
              </w:rPr>
            </w:pPr>
          </w:p>
          <w:p w:rsidR="00310B66" w:rsidRDefault="00310B66" w:rsidP="009D068A">
            <w:pPr>
              <w:jc w:val="center"/>
              <w:rPr>
                <w:b/>
                <w:sz w:val="20"/>
                <w:szCs w:val="20"/>
              </w:rPr>
            </w:pPr>
          </w:p>
          <w:p w:rsidR="00310B66" w:rsidRDefault="00310B66" w:rsidP="009D068A">
            <w:pPr>
              <w:jc w:val="center"/>
              <w:rPr>
                <w:b/>
                <w:sz w:val="20"/>
                <w:szCs w:val="20"/>
              </w:rPr>
            </w:pPr>
          </w:p>
          <w:p w:rsidR="00310B66" w:rsidRDefault="00310B66" w:rsidP="009D068A">
            <w:pPr>
              <w:jc w:val="center"/>
              <w:rPr>
                <w:b/>
                <w:sz w:val="20"/>
                <w:szCs w:val="20"/>
              </w:rPr>
            </w:pPr>
          </w:p>
          <w:p w:rsidR="00310B66" w:rsidRDefault="00310B66" w:rsidP="009D068A">
            <w:pPr>
              <w:jc w:val="center"/>
              <w:rPr>
                <w:b/>
                <w:sz w:val="20"/>
                <w:szCs w:val="20"/>
              </w:rPr>
            </w:pPr>
          </w:p>
          <w:p w:rsidR="00310B66" w:rsidRDefault="00310B66" w:rsidP="009D068A">
            <w:pPr>
              <w:jc w:val="center"/>
              <w:rPr>
                <w:b/>
                <w:sz w:val="20"/>
                <w:szCs w:val="20"/>
              </w:rPr>
            </w:pPr>
          </w:p>
          <w:p w:rsidR="00310B66" w:rsidRPr="00446213" w:rsidRDefault="00310B66" w:rsidP="009D068A">
            <w:pPr>
              <w:jc w:val="center"/>
              <w:rPr>
                <w:b/>
                <w:sz w:val="20"/>
                <w:szCs w:val="20"/>
              </w:rPr>
            </w:pPr>
            <w:r>
              <w:rPr>
                <w:b/>
                <w:sz w:val="20"/>
                <w:szCs w:val="20"/>
              </w:rPr>
              <w:t>3%</w:t>
            </w:r>
          </w:p>
        </w:tc>
        <w:tc>
          <w:tcPr>
            <w:tcW w:w="2127" w:type="dxa"/>
            <w:vMerge/>
          </w:tcPr>
          <w:p w:rsidR="00310B66" w:rsidRDefault="00310B66" w:rsidP="00247CE8">
            <w:pPr>
              <w:rPr>
                <w:sz w:val="20"/>
                <w:szCs w:val="20"/>
              </w:rPr>
            </w:pPr>
          </w:p>
        </w:tc>
      </w:tr>
      <w:tr w:rsidR="00310B66" w:rsidTr="00BC6188">
        <w:trPr>
          <w:cantSplit/>
          <w:trHeight w:val="345"/>
        </w:trPr>
        <w:tc>
          <w:tcPr>
            <w:tcW w:w="993" w:type="dxa"/>
          </w:tcPr>
          <w:p w:rsidR="00310B66" w:rsidRDefault="00310B66" w:rsidP="00247CE8">
            <w:pPr>
              <w:jc w:val="center"/>
              <w:rPr>
                <w:sz w:val="20"/>
                <w:szCs w:val="20"/>
              </w:rPr>
            </w:pPr>
            <w:r>
              <w:rPr>
                <w:sz w:val="20"/>
                <w:szCs w:val="20"/>
              </w:rPr>
              <w:t>522020</w:t>
            </w:r>
          </w:p>
        </w:tc>
        <w:tc>
          <w:tcPr>
            <w:tcW w:w="1134" w:type="dxa"/>
          </w:tcPr>
          <w:p w:rsidR="00310B66" w:rsidRDefault="00310B66" w:rsidP="00247CE8">
            <w:pPr>
              <w:jc w:val="center"/>
              <w:rPr>
                <w:sz w:val="20"/>
                <w:szCs w:val="20"/>
              </w:rPr>
            </w:pPr>
            <w:r>
              <w:rPr>
                <w:sz w:val="20"/>
                <w:szCs w:val="20"/>
              </w:rPr>
              <w:t>522020</w:t>
            </w:r>
          </w:p>
        </w:tc>
        <w:tc>
          <w:tcPr>
            <w:tcW w:w="4819" w:type="dxa"/>
          </w:tcPr>
          <w:p w:rsidR="00310B66" w:rsidRDefault="00310B66" w:rsidP="00247CE8">
            <w:pPr>
              <w:rPr>
                <w:sz w:val="20"/>
                <w:szCs w:val="20"/>
              </w:rPr>
            </w:pPr>
            <w:r>
              <w:rPr>
                <w:sz w:val="20"/>
                <w:szCs w:val="20"/>
              </w:rPr>
              <w:t>Servicios de almacenamiento y depósito en cámaras frigoríficas.</w:t>
            </w:r>
          </w:p>
        </w:tc>
        <w:tc>
          <w:tcPr>
            <w:tcW w:w="1559" w:type="dxa"/>
            <w:vMerge/>
          </w:tcPr>
          <w:p w:rsidR="00310B66" w:rsidRPr="00446213" w:rsidRDefault="00310B66" w:rsidP="009D068A">
            <w:pPr>
              <w:jc w:val="center"/>
              <w:rPr>
                <w:b/>
                <w:sz w:val="20"/>
                <w:szCs w:val="20"/>
              </w:rPr>
            </w:pPr>
          </w:p>
        </w:tc>
        <w:tc>
          <w:tcPr>
            <w:tcW w:w="2127" w:type="dxa"/>
            <w:vMerge/>
          </w:tcPr>
          <w:p w:rsidR="00310B66" w:rsidRDefault="00310B66" w:rsidP="00247CE8">
            <w:pPr>
              <w:rPr>
                <w:sz w:val="20"/>
                <w:szCs w:val="20"/>
              </w:rPr>
            </w:pPr>
          </w:p>
        </w:tc>
      </w:tr>
      <w:tr w:rsidR="00310B66" w:rsidTr="00BC6188">
        <w:trPr>
          <w:cantSplit/>
          <w:trHeight w:val="345"/>
        </w:trPr>
        <w:tc>
          <w:tcPr>
            <w:tcW w:w="993" w:type="dxa"/>
          </w:tcPr>
          <w:p w:rsidR="00310B66" w:rsidRDefault="00310B66" w:rsidP="00196B25">
            <w:pPr>
              <w:jc w:val="center"/>
              <w:rPr>
                <w:sz w:val="20"/>
                <w:szCs w:val="20"/>
              </w:rPr>
            </w:pPr>
            <w:r>
              <w:rPr>
                <w:sz w:val="20"/>
                <w:szCs w:val="20"/>
              </w:rPr>
              <w:t>522091</w:t>
            </w:r>
          </w:p>
        </w:tc>
        <w:tc>
          <w:tcPr>
            <w:tcW w:w="1134" w:type="dxa"/>
          </w:tcPr>
          <w:p w:rsidR="00310B66" w:rsidRDefault="00310B66" w:rsidP="00196B25">
            <w:pPr>
              <w:jc w:val="center"/>
              <w:rPr>
                <w:sz w:val="20"/>
                <w:szCs w:val="20"/>
              </w:rPr>
            </w:pPr>
            <w:r>
              <w:rPr>
                <w:sz w:val="20"/>
                <w:szCs w:val="20"/>
              </w:rPr>
              <w:t>522091</w:t>
            </w:r>
          </w:p>
        </w:tc>
        <w:tc>
          <w:tcPr>
            <w:tcW w:w="4819" w:type="dxa"/>
          </w:tcPr>
          <w:p w:rsidR="00310B66" w:rsidRDefault="00310B66" w:rsidP="00196B25">
            <w:pPr>
              <w:rPr>
                <w:sz w:val="20"/>
                <w:szCs w:val="20"/>
              </w:rPr>
            </w:pPr>
            <w:r>
              <w:rPr>
                <w:sz w:val="20"/>
                <w:szCs w:val="20"/>
              </w:rPr>
              <w:t>Servicios de usuarios directos en zona franca</w:t>
            </w:r>
          </w:p>
        </w:tc>
        <w:tc>
          <w:tcPr>
            <w:tcW w:w="1559" w:type="dxa"/>
            <w:vMerge/>
          </w:tcPr>
          <w:p w:rsidR="00310B66" w:rsidRPr="00446213" w:rsidRDefault="00310B66" w:rsidP="009D068A">
            <w:pPr>
              <w:jc w:val="center"/>
              <w:rPr>
                <w:b/>
                <w:sz w:val="20"/>
                <w:szCs w:val="20"/>
              </w:rPr>
            </w:pPr>
          </w:p>
        </w:tc>
        <w:tc>
          <w:tcPr>
            <w:tcW w:w="2127" w:type="dxa"/>
            <w:vMerge/>
          </w:tcPr>
          <w:p w:rsidR="00310B66" w:rsidRDefault="00310B66" w:rsidP="00196B25">
            <w:pPr>
              <w:rPr>
                <w:sz w:val="20"/>
                <w:szCs w:val="20"/>
              </w:rPr>
            </w:pPr>
          </w:p>
        </w:tc>
      </w:tr>
      <w:tr w:rsidR="00310B66" w:rsidTr="00BC6188">
        <w:trPr>
          <w:cantSplit/>
          <w:trHeight w:val="345"/>
        </w:trPr>
        <w:tc>
          <w:tcPr>
            <w:tcW w:w="993" w:type="dxa"/>
          </w:tcPr>
          <w:p w:rsidR="00310B66" w:rsidRDefault="00310B66" w:rsidP="00196B25">
            <w:pPr>
              <w:jc w:val="center"/>
              <w:rPr>
                <w:sz w:val="20"/>
                <w:szCs w:val="20"/>
              </w:rPr>
            </w:pPr>
            <w:r>
              <w:rPr>
                <w:sz w:val="20"/>
                <w:szCs w:val="20"/>
              </w:rPr>
              <w:t>522092</w:t>
            </w:r>
          </w:p>
          <w:p w:rsidR="00310B66" w:rsidRDefault="00310B66" w:rsidP="00196B25">
            <w:pPr>
              <w:jc w:val="center"/>
              <w:rPr>
                <w:sz w:val="20"/>
                <w:szCs w:val="20"/>
              </w:rPr>
            </w:pPr>
          </w:p>
        </w:tc>
        <w:tc>
          <w:tcPr>
            <w:tcW w:w="1134" w:type="dxa"/>
          </w:tcPr>
          <w:p w:rsidR="00310B66" w:rsidRDefault="00310B66" w:rsidP="00196B25">
            <w:pPr>
              <w:jc w:val="center"/>
              <w:rPr>
                <w:sz w:val="20"/>
                <w:szCs w:val="20"/>
              </w:rPr>
            </w:pPr>
            <w:r>
              <w:rPr>
                <w:sz w:val="20"/>
                <w:szCs w:val="20"/>
              </w:rPr>
              <w:t>522092</w:t>
            </w:r>
          </w:p>
        </w:tc>
        <w:tc>
          <w:tcPr>
            <w:tcW w:w="4819" w:type="dxa"/>
          </w:tcPr>
          <w:p w:rsidR="00310B66" w:rsidRDefault="00310B66" w:rsidP="00196B25">
            <w:pPr>
              <w:rPr>
                <w:sz w:val="20"/>
                <w:szCs w:val="20"/>
              </w:rPr>
            </w:pPr>
            <w:r>
              <w:rPr>
                <w:sz w:val="20"/>
                <w:szCs w:val="20"/>
              </w:rPr>
              <w:t>Servicios de gestión de depósitos fiscales</w:t>
            </w:r>
          </w:p>
        </w:tc>
        <w:tc>
          <w:tcPr>
            <w:tcW w:w="1559" w:type="dxa"/>
            <w:vMerge/>
          </w:tcPr>
          <w:p w:rsidR="00310B66" w:rsidRPr="00446213" w:rsidRDefault="00310B66" w:rsidP="009D068A">
            <w:pPr>
              <w:jc w:val="center"/>
              <w:rPr>
                <w:b/>
                <w:sz w:val="20"/>
                <w:szCs w:val="20"/>
              </w:rPr>
            </w:pPr>
          </w:p>
        </w:tc>
        <w:tc>
          <w:tcPr>
            <w:tcW w:w="2127" w:type="dxa"/>
            <w:vMerge/>
          </w:tcPr>
          <w:p w:rsidR="00310B66" w:rsidRDefault="00310B66" w:rsidP="00196B25">
            <w:pPr>
              <w:rPr>
                <w:sz w:val="20"/>
                <w:szCs w:val="20"/>
              </w:rPr>
            </w:pPr>
          </w:p>
        </w:tc>
      </w:tr>
      <w:tr w:rsidR="00310B66" w:rsidTr="00BC6188">
        <w:trPr>
          <w:cantSplit/>
          <w:trHeight w:val="345"/>
        </w:trPr>
        <w:tc>
          <w:tcPr>
            <w:tcW w:w="993" w:type="dxa"/>
          </w:tcPr>
          <w:p w:rsidR="00310B66" w:rsidRDefault="00310B66" w:rsidP="00196B25">
            <w:pPr>
              <w:jc w:val="center"/>
              <w:rPr>
                <w:sz w:val="20"/>
                <w:szCs w:val="20"/>
              </w:rPr>
            </w:pPr>
            <w:r>
              <w:rPr>
                <w:sz w:val="20"/>
                <w:szCs w:val="20"/>
              </w:rPr>
              <w:t>522099</w:t>
            </w:r>
          </w:p>
        </w:tc>
        <w:tc>
          <w:tcPr>
            <w:tcW w:w="1134" w:type="dxa"/>
          </w:tcPr>
          <w:p w:rsidR="00310B66" w:rsidRDefault="00310B66" w:rsidP="00196B25">
            <w:pPr>
              <w:jc w:val="center"/>
              <w:rPr>
                <w:sz w:val="20"/>
                <w:szCs w:val="20"/>
              </w:rPr>
            </w:pPr>
            <w:r>
              <w:rPr>
                <w:sz w:val="20"/>
                <w:szCs w:val="20"/>
              </w:rPr>
              <w:t>522099</w:t>
            </w:r>
          </w:p>
        </w:tc>
        <w:tc>
          <w:tcPr>
            <w:tcW w:w="4819" w:type="dxa"/>
          </w:tcPr>
          <w:p w:rsidR="00310B66" w:rsidRDefault="00310B66" w:rsidP="00196B25">
            <w:pPr>
              <w:rPr>
                <w:sz w:val="20"/>
                <w:szCs w:val="20"/>
              </w:rPr>
            </w:pPr>
            <w:r>
              <w:rPr>
                <w:sz w:val="20"/>
                <w:szCs w:val="20"/>
              </w:rPr>
              <w:t>Servicios de almacenamiento y depósitos N.C.P.</w:t>
            </w:r>
          </w:p>
        </w:tc>
        <w:tc>
          <w:tcPr>
            <w:tcW w:w="1559" w:type="dxa"/>
            <w:vMerge/>
          </w:tcPr>
          <w:p w:rsidR="00310B66" w:rsidRPr="00446213" w:rsidRDefault="00310B66" w:rsidP="009D068A">
            <w:pPr>
              <w:jc w:val="center"/>
              <w:rPr>
                <w:b/>
                <w:sz w:val="20"/>
                <w:szCs w:val="20"/>
              </w:rPr>
            </w:pPr>
          </w:p>
        </w:tc>
        <w:tc>
          <w:tcPr>
            <w:tcW w:w="2127" w:type="dxa"/>
            <w:vMerge/>
          </w:tcPr>
          <w:p w:rsidR="00310B66" w:rsidRDefault="00310B66" w:rsidP="00196B25">
            <w:pPr>
              <w:rPr>
                <w:sz w:val="20"/>
                <w:szCs w:val="20"/>
              </w:rPr>
            </w:pPr>
          </w:p>
        </w:tc>
      </w:tr>
      <w:tr w:rsidR="00310B66" w:rsidTr="00BC6188">
        <w:trPr>
          <w:cantSplit/>
          <w:trHeight w:val="150"/>
        </w:trPr>
        <w:tc>
          <w:tcPr>
            <w:tcW w:w="993" w:type="dxa"/>
          </w:tcPr>
          <w:p w:rsidR="00310B66" w:rsidRDefault="00310B66" w:rsidP="00196B25">
            <w:pPr>
              <w:jc w:val="center"/>
              <w:rPr>
                <w:sz w:val="20"/>
                <w:szCs w:val="20"/>
              </w:rPr>
            </w:pPr>
            <w:r>
              <w:rPr>
                <w:sz w:val="20"/>
                <w:szCs w:val="20"/>
              </w:rPr>
              <w:t>523032</w:t>
            </w:r>
          </w:p>
        </w:tc>
        <w:tc>
          <w:tcPr>
            <w:tcW w:w="1134" w:type="dxa"/>
          </w:tcPr>
          <w:p w:rsidR="00310B66" w:rsidRDefault="00310B66" w:rsidP="00196B25">
            <w:pPr>
              <w:jc w:val="center"/>
              <w:rPr>
                <w:sz w:val="20"/>
                <w:szCs w:val="20"/>
              </w:rPr>
            </w:pPr>
            <w:r>
              <w:rPr>
                <w:sz w:val="20"/>
                <w:szCs w:val="20"/>
              </w:rPr>
              <w:t>523032</w:t>
            </w:r>
          </w:p>
        </w:tc>
        <w:tc>
          <w:tcPr>
            <w:tcW w:w="4819" w:type="dxa"/>
          </w:tcPr>
          <w:p w:rsidR="00310B66" w:rsidRDefault="00310B66" w:rsidP="00196B25">
            <w:pPr>
              <w:rPr>
                <w:sz w:val="20"/>
                <w:szCs w:val="20"/>
              </w:rPr>
            </w:pPr>
            <w:r>
              <w:rPr>
                <w:sz w:val="20"/>
                <w:szCs w:val="20"/>
              </w:rPr>
              <w:t>Servicio de operadores logísticos seguros (OLS) en el ámbito aduanero.</w:t>
            </w:r>
          </w:p>
        </w:tc>
        <w:tc>
          <w:tcPr>
            <w:tcW w:w="1559" w:type="dxa"/>
            <w:vMerge/>
          </w:tcPr>
          <w:p w:rsidR="00310B66" w:rsidRPr="00446213" w:rsidRDefault="00310B66" w:rsidP="009D068A">
            <w:pPr>
              <w:jc w:val="center"/>
              <w:rPr>
                <w:b/>
                <w:sz w:val="20"/>
                <w:szCs w:val="20"/>
              </w:rPr>
            </w:pPr>
          </w:p>
        </w:tc>
        <w:tc>
          <w:tcPr>
            <w:tcW w:w="2127" w:type="dxa"/>
            <w:vMerge/>
          </w:tcPr>
          <w:p w:rsidR="00310B66" w:rsidRDefault="00310B66" w:rsidP="00196B25">
            <w:pPr>
              <w:rPr>
                <w:sz w:val="20"/>
                <w:szCs w:val="20"/>
              </w:rPr>
            </w:pPr>
          </w:p>
        </w:tc>
      </w:tr>
      <w:tr w:rsidR="00310B66" w:rsidTr="00BC6188">
        <w:trPr>
          <w:cantSplit/>
          <w:trHeight w:val="150"/>
        </w:trPr>
        <w:tc>
          <w:tcPr>
            <w:tcW w:w="993" w:type="dxa"/>
          </w:tcPr>
          <w:p w:rsidR="00310B66" w:rsidRDefault="00310B66" w:rsidP="00196B25">
            <w:pPr>
              <w:jc w:val="center"/>
              <w:rPr>
                <w:sz w:val="20"/>
                <w:szCs w:val="20"/>
              </w:rPr>
            </w:pPr>
            <w:r>
              <w:rPr>
                <w:sz w:val="20"/>
                <w:szCs w:val="20"/>
              </w:rPr>
              <w:t>523039</w:t>
            </w:r>
          </w:p>
        </w:tc>
        <w:tc>
          <w:tcPr>
            <w:tcW w:w="1134" w:type="dxa"/>
          </w:tcPr>
          <w:p w:rsidR="00310B66" w:rsidRDefault="00310B66" w:rsidP="00196B25">
            <w:pPr>
              <w:jc w:val="center"/>
              <w:rPr>
                <w:sz w:val="20"/>
                <w:szCs w:val="20"/>
              </w:rPr>
            </w:pPr>
            <w:r>
              <w:rPr>
                <w:sz w:val="20"/>
                <w:szCs w:val="20"/>
              </w:rPr>
              <w:t>523039</w:t>
            </w:r>
          </w:p>
        </w:tc>
        <w:tc>
          <w:tcPr>
            <w:tcW w:w="4819" w:type="dxa"/>
          </w:tcPr>
          <w:p w:rsidR="00310B66" w:rsidRDefault="00310B66" w:rsidP="00196B25">
            <w:pPr>
              <w:rPr>
                <w:sz w:val="20"/>
                <w:szCs w:val="20"/>
              </w:rPr>
            </w:pPr>
            <w:r>
              <w:rPr>
                <w:sz w:val="20"/>
                <w:szCs w:val="20"/>
              </w:rPr>
              <w:t>Servicio de operadores logísticos N.C.P.</w:t>
            </w:r>
          </w:p>
        </w:tc>
        <w:tc>
          <w:tcPr>
            <w:tcW w:w="1559" w:type="dxa"/>
            <w:vMerge/>
          </w:tcPr>
          <w:p w:rsidR="00310B66" w:rsidRPr="00446213" w:rsidRDefault="00310B66" w:rsidP="009D068A">
            <w:pPr>
              <w:jc w:val="center"/>
              <w:rPr>
                <w:b/>
                <w:sz w:val="20"/>
                <w:szCs w:val="20"/>
              </w:rPr>
            </w:pPr>
          </w:p>
        </w:tc>
        <w:tc>
          <w:tcPr>
            <w:tcW w:w="2127" w:type="dxa"/>
            <w:vMerge/>
          </w:tcPr>
          <w:p w:rsidR="00310B66" w:rsidRDefault="00310B66" w:rsidP="00196B25">
            <w:pPr>
              <w:rPr>
                <w:sz w:val="20"/>
                <w:szCs w:val="20"/>
              </w:rPr>
            </w:pPr>
          </w:p>
        </w:tc>
      </w:tr>
      <w:tr w:rsidR="00310B66" w:rsidTr="00BC6188">
        <w:trPr>
          <w:cantSplit/>
          <w:trHeight w:val="305"/>
        </w:trPr>
        <w:tc>
          <w:tcPr>
            <w:tcW w:w="993" w:type="dxa"/>
          </w:tcPr>
          <w:p w:rsidR="00310B66" w:rsidRDefault="00310B66" w:rsidP="00196B25">
            <w:pPr>
              <w:jc w:val="center"/>
              <w:rPr>
                <w:sz w:val="20"/>
                <w:szCs w:val="20"/>
              </w:rPr>
            </w:pPr>
            <w:r>
              <w:rPr>
                <w:sz w:val="20"/>
                <w:szCs w:val="20"/>
              </w:rPr>
              <w:t>523090</w:t>
            </w:r>
          </w:p>
        </w:tc>
        <w:tc>
          <w:tcPr>
            <w:tcW w:w="1134" w:type="dxa"/>
          </w:tcPr>
          <w:p w:rsidR="00310B66" w:rsidRDefault="00310B66" w:rsidP="00196B25">
            <w:pPr>
              <w:jc w:val="center"/>
              <w:rPr>
                <w:sz w:val="20"/>
                <w:szCs w:val="20"/>
              </w:rPr>
            </w:pPr>
            <w:r>
              <w:rPr>
                <w:sz w:val="20"/>
                <w:szCs w:val="20"/>
              </w:rPr>
              <w:t>523090</w:t>
            </w:r>
          </w:p>
        </w:tc>
        <w:tc>
          <w:tcPr>
            <w:tcW w:w="4819" w:type="dxa"/>
          </w:tcPr>
          <w:p w:rsidR="00310B66" w:rsidRDefault="00310B66" w:rsidP="00196B25">
            <w:pPr>
              <w:rPr>
                <w:sz w:val="20"/>
                <w:szCs w:val="20"/>
              </w:rPr>
            </w:pPr>
            <w:r>
              <w:rPr>
                <w:sz w:val="20"/>
                <w:szCs w:val="20"/>
              </w:rPr>
              <w:t>Servicio de gestión y logística para el transporte de mercaderías N.C.P.</w:t>
            </w:r>
          </w:p>
        </w:tc>
        <w:tc>
          <w:tcPr>
            <w:tcW w:w="1559" w:type="dxa"/>
            <w:vMerge/>
          </w:tcPr>
          <w:p w:rsidR="00310B66" w:rsidRPr="00446213" w:rsidRDefault="00310B66" w:rsidP="009D068A">
            <w:pPr>
              <w:jc w:val="center"/>
              <w:rPr>
                <w:b/>
                <w:sz w:val="20"/>
                <w:szCs w:val="20"/>
              </w:rPr>
            </w:pPr>
          </w:p>
        </w:tc>
        <w:tc>
          <w:tcPr>
            <w:tcW w:w="2127" w:type="dxa"/>
            <w:vMerge/>
          </w:tcPr>
          <w:p w:rsidR="00310B66" w:rsidRDefault="00310B66" w:rsidP="00196B25">
            <w:pPr>
              <w:rPr>
                <w:sz w:val="20"/>
                <w:szCs w:val="20"/>
              </w:rPr>
            </w:pPr>
          </w:p>
        </w:tc>
      </w:tr>
      <w:tr w:rsidR="00310B66" w:rsidTr="00BC6188">
        <w:trPr>
          <w:cantSplit/>
          <w:trHeight w:val="305"/>
        </w:trPr>
        <w:tc>
          <w:tcPr>
            <w:tcW w:w="993" w:type="dxa"/>
          </w:tcPr>
          <w:p w:rsidR="00310B66" w:rsidRDefault="00310B66" w:rsidP="00196B25">
            <w:pPr>
              <w:jc w:val="center"/>
              <w:rPr>
                <w:sz w:val="20"/>
                <w:szCs w:val="20"/>
              </w:rPr>
            </w:pPr>
            <w:r>
              <w:rPr>
                <w:sz w:val="20"/>
                <w:szCs w:val="20"/>
              </w:rPr>
              <w:t>524190</w:t>
            </w:r>
          </w:p>
        </w:tc>
        <w:tc>
          <w:tcPr>
            <w:tcW w:w="1134" w:type="dxa"/>
          </w:tcPr>
          <w:p w:rsidR="00310B66" w:rsidRDefault="00310B66" w:rsidP="00196B25">
            <w:pPr>
              <w:jc w:val="center"/>
              <w:rPr>
                <w:sz w:val="20"/>
                <w:szCs w:val="20"/>
              </w:rPr>
            </w:pPr>
            <w:r>
              <w:rPr>
                <w:sz w:val="20"/>
                <w:szCs w:val="20"/>
              </w:rPr>
              <w:t>524190</w:t>
            </w:r>
          </w:p>
        </w:tc>
        <w:tc>
          <w:tcPr>
            <w:tcW w:w="4819" w:type="dxa"/>
          </w:tcPr>
          <w:p w:rsidR="00310B66" w:rsidRDefault="00310B66" w:rsidP="00196B25">
            <w:pPr>
              <w:rPr>
                <w:sz w:val="20"/>
                <w:szCs w:val="20"/>
              </w:rPr>
            </w:pPr>
            <w:r>
              <w:rPr>
                <w:sz w:val="20"/>
                <w:szCs w:val="20"/>
              </w:rPr>
              <w:t>Servicios complementarios para el transporte terrestre N.C.P.</w:t>
            </w:r>
          </w:p>
        </w:tc>
        <w:tc>
          <w:tcPr>
            <w:tcW w:w="1559" w:type="dxa"/>
            <w:vMerge/>
          </w:tcPr>
          <w:p w:rsidR="00310B66" w:rsidRPr="00446213" w:rsidRDefault="00310B66" w:rsidP="009D068A">
            <w:pPr>
              <w:jc w:val="center"/>
              <w:rPr>
                <w:b/>
                <w:sz w:val="20"/>
                <w:szCs w:val="20"/>
              </w:rPr>
            </w:pPr>
          </w:p>
        </w:tc>
        <w:tc>
          <w:tcPr>
            <w:tcW w:w="2127" w:type="dxa"/>
            <w:vMerge/>
          </w:tcPr>
          <w:p w:rsidR="00310B66" w:rsidRDefault="00310B66" w:rsidP="00196B25">
            <w:pPr>
              <w:rPr>
                <w:sz w:val="20"/>
                <w:szCs w:val="20"/>
              </w:rPr>
            </w:pPr>
          </w:p>
        </w:tc>
      </w:tr>
      <w:tr w:rsidR="00310B66" w:rsidTr="00BC6188">
        <w:trPr>
          <w:cantSplit/>
          <w:trHeight w:val="234"/>
        </w:trPr>
        <w:tc>
          <w:tcPr>
            <w:tcW w:w="993" w:type="dxa"/>
          </w:tcPr>
          <w:p w:rsidR="00310B66" w:rsidRDefault="00310B66" w:rsidP="00196B25">
            <w:pPr>
              <w:jc w:val="center"/>
              <w:rPr>
                <w:sz w:val="20"/>
                <w:szCs w:val="20"/>
              </w:rPr>
            </w:pPr>
            <w:r>
              <w:rPr>
                <w:sz w:val="20"/>
                <w:szCs w:val="20"/>
              </w:rPr>
              <w:t>530010</w:t>
            </w:r>
          </w:p>
        </w:tc>
        <w:tc>
          <w:tcPr>
            <w:tcW w:w="1134" w:type="dxa"/>
          </w:tcPr>
          <w:p w:rsidR="00310B66" w:rsidRDefault="00310B66" w:rsidP="00196B25">
            <w:pPr>
              <w:rPr>
                <w:sz w:val="20"/>
                <w:szCs w:val="20"/>
              </w:rPr>
            </w:pPr>
            <w:r>
              <w:rPr>
                <w:sz w:val="20"/>
                <w:szCs w:val="20"/>
              </w:rPr>
              <w:t xml:space="preserve">   530010</w:t>
            </w:r>
          </w:p>
          <w:p w:rsidR="00310B66" w:rsidRDefault="00310B66" w:rsidP="00196B25">
            <w:pPr>
              <w:jc w:val="center"/>
              <w:rPr>
                <w:sz w:val="20"/>
                <w:szCs w:val="20"/>
              </w:rPr>
            </w:pPr>
          </w:p>
        </w:tc>
        <w:tc>
          <w:tcPr>
            <w:tcW w:w="4819" w:type="dxa"/>
          </w:tcPr>
          <w:p w:rsidR="00310B66" w:rsidRDefault="00310B66" w:rsidP="00196B25">
            <w:pPr>
              <w:rPr>
                <w:sz w:val="20"/>
                <w:szCs w:val="20"/>
              </w:rPr>
            </w:pPr>
            <w:r>
              <w:rPr>
                <w:sz w:val="20"/>
                <w:szCs w:val="20"/>
              </w:rPr>
              <w:t xml:space="preserve">Servicio de correo </w:t>
            </w:r>
            <w:proofErr w:type="gramStart"/>
            <w:r>
              <w:rPr>
                <w:sz w:val="20"/>
                <w:szCs w:val="20"/>
              </w:rPr>
              <w:t>postal .</w:t>
            </w:r>
            <w:proofErr w:type="gramEnd"/>
            <w:r>
              <w:rPr>
                <w:sz w:val="20"/>
                <w:szCs w:val="20"/>
              </w:rPr>
              <w:t>-</w:t>
            </w:r>
          </w:p>
        </w:tc>
        <w:tc>
          <w:tcPr>
            <w:tcW w:w="1559" w:type="dxa"/>
            <w:vMerge w:val="restart"/>
          </w:tcPr>
          <w:p w:rsidR="00310B66" w:rsidRDefault="00310B66" w:rsidP="009D068A">
            <w:pPr>
              <w:jc w:val="center"/>
              <w:rPr>
                <w:b/>
                <w:sz w:val="20"/>
                <w:szCs w:val="20"/>
              </w:rPr>
            </w:pPr>
          </w:p>
          <w:p w:rsidR="00310B66" w:rsidRPr="00446213" w:rsidRDefault="00310B66" w:rsidP="009D068A">
            <w:pPr>
              <w:jc w:val="center"/>
              <w:rPr>
                <w:b/>
                <w:sz w:val="20"/>
                <w:szCs w:val="20"/>
              </w:rPr>
            </w:pPr>
            <w:r>
              <w:rPr>
                <w:b/>
                <w:sz w:val="20"/>
                <w:szCs w:val="20"/>
              </w:rPr>
              <w:t>2%</w:t>
            </w:r>
          </w:p>
        </w:tc>
        <w:tc>
          <w:tcPr>
            <w:tcW w:w="2127" w:type="dxa"/>
            <w:vMerge/>
          </w:tcPr>
          <w:p w:rsidR="00310B66" w:rsidRDefault="00310B66" w:rsidP="00196B25">
            <w:pPr>
              <w:rPr>
                <w:sz w:val="20"/>
                <w:szCs w:val="20"/>
              </w:rPr>
            </w:pPr>
          </w:p>
        </w:tc>
      </w:tr>
      <w:tr w:rsidR="00310B66" w:rsidTr="00BC6188">
        <w:trPr>
          <w:cantSplit/>
          <w:trHeight w:val="70"/>
        </w:trPr>
        <w:tc>
          <w:tcPr>
            <w:tcW w:w="993" w:type="dxa"/>
          </w:tcPr>
          <w:p w:rsidR="00310B66" w:rsidRDefault="00310B66" w:rsidP="00196B25">
            <w:pPr>
              <w:jc w:val="center"/>
              <w:rPr>
                <w:sz w:val="20"/>
                <w:szCs w:val="20"/>
              </w:rPr>
            </w:pPr>
            <w:r>
              <w:rPr>
                <w:sz w:val="20"/>
                <w:szCs w:val="20"/>
              </w:rPr>
              <w:t>530090</w:t>
            </w:r>
          </w:p>
        </w:tc>
        <w:tc>
          <w:tcPr>
            <w:tcW w:w="1134" w:type="dxa"/>
          </w:tcPr>
          <w:p w:rsidR="00310B66" w:rsidRDefault="00310B66" w:rsidP="00196B25">
            <w:pPr>
              <w:rPr>
                <w:sz w:val="20"/>
                <w:szCs w:val="20"/>
              </w:rPr>
            </w:pPr>
            <w:r>
              <w:rPr>
                <w:sz w:val="20"/>
                <w:szCs w:val="20"/>
              </w:rPr>
              <w:t xml:space="preserve">   530090</w:t>
            </w:r>
          </w:p>
        </w:tc>
        <w:tc>
          <w:tcPr>
            <w:tcW w:w="4819" w:type="dxa"/>
          </w:tcPr>
          <w:p w:rsidR="00310B66" w:rsidRDefault="00310B66" w:rsidP="00196B25">
            <w:pPr>
              <w:rPr>
                <w:sz w:val="20"/>
                <w:szCs w:val="20"/>
              </w:rPr>
            </w:pPr>
            <w:r>
              <w:rPr>
                <w:sz w:val="20"/>
                <w:szCs w:val="20"/>
              </w:rPr>
              <w:t xml:space="preserve">Servicios de mensajerías </w:t>
            </w:r>
          </w:p>
        </w:tc>
        <w:tc>
          <w:tcPr>
            <w:tcW w:w="1559" w:type="dxa"/>
            <w:vMerge/>
          </w:tcPr>
          <w:p w:rsidR="00310B66" w:rsidRPr="00446213" w:rsidRDefault="00310B66" w:rsidP="009D068A">
            <w:pPr>
              <w:jc w:val="center"/>
              <w:rPr>
                <w:b/>
                <w:sz w:val="20"/>
                <w:szCs w:val="20"/>
              </w:rPr>
            </w:pPr>
          </w:p>
        </w:tc>
        <w:tc>
          <w:tcPr>
            <w:tcW w:w="2127" w:type="dxa"/>
            <w:vMerge/>
          </w:tcPr>
          <w:p w:rsidR="00310B66" w:rsidRDefault="00310B66" w:rsidP="00196B25">
            <w:pPr>
              <w:rPr>
                <w:sz w:val="20"/>
                <w:szCs w:val="20"/>
              </w:rPr>
            </w:pPr>
          </w:p>
        </w:tc>
      </w:tr>
      <w:tr w:rsidR="00310B66" w:rsidTr="00BC6188">
        <w:trPr>
          <w:cantSplit/>
          <w:trHeight w:val="300"/>
        </w:trPr>
        <w:tc>
          <w:tcPr>
            <w:tcW w:w="993" w:type="dxa"/>
          </w:tcPr>
          <w:p w:rsidR="00310B66" w:rsidRDefault="00310B66" w:rsidP="00196B25">
            <w:pPr>
              <w:rPr>
                <w:sz w:val="20"/>
                <w:szCs w:val="20"/>
              </w:rPr>
            </w:pPr>
            <w:r>
              <w:rPr>
                <w:sz w:val="20"/>
                <w:szCs w:val="20"/>
              </w:rPr>
              <w:t xml:space="preserve">   801010</w:t>
            </w:r>
          </w:p>
          <w:p w:rsidR="00310B66" w:rsidRDefault="00310B66" w:rsidP="00196B25">
            <w:pPr>
              <w:rPr>
                <w:sz w:val="20"/>
                <w:szCs w:val="20"/>
              </w:rPr>
            </w:pPr>
          </w:p>
        </w:tc>
        <w:tc>
          <w:tcPr>
            <w:tcW w:w="1134" w:type="dxa"/>
          </w:tcPr>
          <w:p w:rsidR="00310B66" w:rsidRDefault="00310B66" w:rsidP="00196B25">
            <w:pPr>
              <w:jc w:val="center"/>
              <w:rPr>
                <w:sz w:val="20"/>
                <w:szCs w:val="20"/>
              </w:rPr>
            </w:pPr>
            <w:r>
              <w:rPr>
                <w:sz w:val="20"/>
                <w:szCs w:val="20"/>
              </w:rPr>
              <w:t>801010</w:t>
            </w:r>
          </w:p>
        </w:tc>
        <w:tc>
          <w:tcPr>
            <w:tcW w:w="4819" w:type="dxa"/>
          </w:tcPr>
          <w:p w:rsidR="00310B66" w:rsidRDefault="00310B66" w:rsidP="00196B25">
            <w:pPr>
              <w:rPr>
                <w:sz w:val="20"/>
                <w:szCs w:val="20"/>
              </w:rPr>
            </w:pPr>
            <w:r>
              <w:rPr>
                <w:sz w:val="20"/>
                <w:szCs w:val="20"/>
              </w:rPr>
              <w:t>Servicio de transporte de caudales y objetos de valor.</w:t>
            </w:r>
          </w:p>
        </w:tc>
        <w:tc>
          <w:tcPr>
            <w:tcW w:w="1559" w:type="dxa"/>
            <w:vMerge w:val="restart"/>
          </w:tcPr>
          <w:p w:rsidR="00310B66" w:rsidRDefault="00310B66" w:rsidP="009D068A">
            <w:pPr>
              <w:jc w:val="center"/>
              <w:rPr>
                <w:b/>
                <w:sz w:val="20"/>
                <w:szCs w:val="20"/>
              </w:rPr>
            </w:pPr>
          </w:p>
          <w:p w:rsidR="00310B66" w:rsidRDefault="00310B66" w:rsidP="009D068A">
            <w:pPr>
              <w:jc w:val="center"/>
              <w:rPr>
                <w:b/>
                <w:sz w:val="20"/>
                <w:szCs w:val="20"/>
              </w:rPr>
            </w:pPr>
          </w:p>
          <w:p w:rsidR="00310B66" w:rsidRPr="00446213" w:rsidRDefault="00310B66" w:rsidP="009D068A">
            <w:pPr>
              <w:jc w:val="center"/>
              <w:rPr>
                <w:b/>
                <w:sz w:val="20"/>
                <w:szCs w:val="20"/>
              </w:rPr>
            </w:pPr>
            <w:r>
              <w:rPr>
                <w:b/>
                <w:sz w:val="20"/>
                <w:szCs w:val="20"/>
              </w:rPr>
              <w:t>3%</w:t>
            </w:r>
          </w:p>
        </w:tc>
        <w:tc>
          <w:tcPr>
            <w:tcW w:w="2127" w:type="dxa"/>
            <w:vMerge/>
          </w:tcPr>
          <w:p w:rsidR="00310B66" w:rsidRDefault="00310B66" w:rsidP="00196B25">
            <w:pPr>
              <w:rPr>
                <w:sz w:val="20"/>
                <w:szCs w:val="20"/>
              </w:rPr>
            </w:pPr>
          </w:p>
        </w:tc>
      </w:tr>
      <w:tr w:rsidR="00310B66" w:rsidTr="00BC6188">
        <w:trPr>
          <w:cantSplit/>
          <w:trHeight w:val="233"/>
        </w:trPr>
        <w:tc>
          <w:tcPr>
            <w:tcW w:w="993" w:type="dxa"/>
          </w:tcPr>
          <w:p w:rsidR="00310B66" w:rsidRDefault="00310B66" w:rsidP="00196B25">
            <w:pPr>
              <w:jc w:val="center"/>
              <w:rPr>
                <w:sz w:val="20"/>
                <w:szCs w:val="20"/>
              </w:rPr>
            </w:pPr>
            <w:r>
              <w:rPr>
                <w:sz w:val="20"/>
                <w:szCs w:val="20"/>
              </w:rPr>
              <w:t>381100</w:t>
            </w:r>
          </w:p>
        </w:tc>
        <w:tc>
          <w:tcPr>
            <w:tcW w:w="1134" w:type="dxa"/>
          </w:tcPr>
          <w:p w:rsidR="00310B66" w:rsidRDefault="00310B66" w:rsidP="00196B25">
            <w:pPr>
              <w:jc w:val="center"/>
              <w:rPr>
                <w:sz w:val="20"/>
                <w:szCs w:val="20"/>
              </w:rPr>
            </w:pPr>
            <w:r>
              <w:rPr>
                <w:sz w:val="20"/>
                <w:szCs w:val="20"/>
              </w:rPr>
              <w:t>381100</w:t>
            </w:r>
          </w:p>
        </w:tc>
        <w:tc>
          <w:tcPr>
            <w:tcW w:w="4819" w:type="dxa"/>
          </w:tcPr>
          <w:p w:rsidR="00310B66" w:rsidRDefault="00310B66" w:rsidP="00196B25">
            <w:pPr>
              <w:rPr>
                <w:sz w:val="20"/>
                <w:szCs w:val="20"/>
              </w:rPr>
            </w:pPr>
            <w:r>
              <w:rPr>
                <w:sz w:val="20"/>
                <w:szCs w:val="20"/>
              </w:rPr>
              <w:t>Recolección, transporte, tratamiento y disposición final de residuos no peligrosos</w:t>
            </w:r>
          </w:p>
        </w:tc>
        <w:tc>
          <w:tcPr>
            <w:tcW w:w="1559" w:type="dxa"/>
            <w:vMerge/>
          </w:tcPr>
          <w:p w:rsidR="00310B66" w:rsidRPr="00446213" w:rsidRDefault="00310B66" w:rsidP="009D068A">
            <w:pPr>
              <w:jc w:val="center"/>
              <w:rPr>
                <w:b/>
                <w:sz w:val="20"/>
                <w:szCs w:val="20"/>
              </w:rPr>
            </w:pPr>
          </w:p>
        </w:tc>
        <w:tc>
          <w:tcPr>
            <w:tcW w:w="2127" w:type="dxa"/>
            <w:vMerge/>
          </w:tcPr>
          <w:p w:rsidR="00310B66" w:rsidRDefault="00310B66" w:rsidP="00196B25">
            <w:pPr>
              <w:rPr>
                <w:sz w:val="20"/>
                <w:szCs w:val="20"/>
              </w:rPr>
            </w:pPr>
          </w:p>
        </w:tc>
      </w:tr>
      <w:tr w:rsidR="00310B66" w:rsidTr="00BC6188">
        <w:trPr>
          <w:cantSplit/>
          <w:trHeight w:val="448"/>
        </w:trPr>
        <w:tc>
          <w:tcPr>
            <w:tcW w:w="993" w:type="dxa"/>
          </w:tcPr>
          <w:p w:rsidR="00310B66" w:rsidRDefault="00310B66" w:rsidP="009D068A">
            <w:pPr>
              <w:jc w:val="center"/>
              <w:rPr>
                <w:sz w:val="20"/>
                <w:szCs w:val="20"/>
              </w:rPr>
            </w:pPr>
            <w:r>
              <w:rPr>
                <w:sz w:val="20"/>
                <w:szCs w:val="20"/>
              </w:rPr>
              <w:t>381200</w:t>
            </w:r>
          </w:p>
        </w:tc>
        <w:tc>
          <w:tcPr>
            <w:tcW w:w="1134" w:type="dxa"/>
          </w:tcPr>
          <w:p w:rsidR="00310B66" w:rsidRDefault="00310B66" w:rsidP="009D068A">
            <w:pPr>
              <w:jc w:val="center"/>
              <w:rPr>
                <w:sz w:val="20"/>
                <w:szCs w:val="20"/>
              </w:rPr>
            </w:pPr>
            <w:r>
              <w:rPr>
                <w:sz w:val="20"/>
                <w:szCs w:val="20"/>
              </w:rPr>
              <w:t>381200</w:t>
            </w:r>
          </w:p>
        </w:tc>
        <w:tc>
          <w:tcPr>
            <w:tcW w:w="4819" w:type="dxa"/>
          </w:tcPr>
          <w:p w:rsidR="00310B66" w:rsidRDefault="00310B66" w:rsidP="009D068A">
            <w:pPr>
              <w:rPr>
                <w:sz w:val="20"/>
                <w:szCs w:val="20"/>
              </w:rPr>
            </w:pPr>
            <w:r>
              <w:rPr>
                <w:sz w:val="20"/>
                <w:szCs w:val="20"/>
              </w:rPr>
              <w:t>Recolección, transporte, tratamiento y disposición final de residuos peligrosos</w:t>
            </w:r>
            <w:r>
              <w:rPr>
                <w:sz w:val="20"/>
                <w:szCs w:val="20"/>
                <w:lang w:val="es-AR"/>
              </w:rPr>
              <w:t xml:space="preserve">. </w:t>
            </w:r>
          </w:p>
        </w:tc>
        <w:tc>
          <w:tcPr>
            <w:tcW w:w="1559" w:type="dxa"/>
            <w:vMerge/>
          </w:tcPr>
          <w:p w:rsidR="00310B66" w:rsidRPr="00446213" w:rsidRDefault="00310B66" w:rsidP="009D068A">
            <w:pPr>
              <w:jc w:val="center"/>
              <w:rPr>
                <w:b/>
                <w:sz w:val="20"/>
                <w:szCs w:val="20"/>
              </w:rPr>
            </w:pPr>
          </w:p>
        </w:tc>
        <w:tc>
          <w:tcPr>
            <w:tcW w:w="2127" w:type="dxa"/>
            <w:vMerge/>
          </w:tcPr>
          <w:p w:rsidR="00310B66" w:rsidRDefault="00310B66" w:rsidP="009D068A">
            <w:pPr>
              <w:rPr>
                <w:sz w:val="20"/>
                <w:szCs w:val="20"/>
              </w:rPr>
            </w:pPr>
          </w:p>
        </w:tc>
      </w:tr>
    </w:tbl>
    <w:p w:rsidR="00A56AA5" w:rsidRDefault="00A56AA5">
      <w:pPr>
        <w:rPr>
          <w:rStyle w:val="negritanovedades"/>
          <w:rFonts w:ascii="Verdana" w:hAnsi="Verdana"/>
          <w:b/>
          <w:bCs/>
          <w:color w:val="000000"/>
          <w:sz w:val="16"/>
          <w:szCs w:val="16"/>
        </w:rPr>
      </w:pPr>
    </w:p>
    <w:p w:rsidR="00A56AA5" w:rsidRPr="00310B66" w:rsidRDefault="00A56AA5">
      <w:pPr>
        <w:rPr>
          <w:rStyle w:val="negritanovedades"/>
          <w:rFonts w:ascii="Verdana" w:hAnsi="Verdana"/>
          <w:b/>
          <w:bCs/>
          <w:color w:val="000000"/>
          <w:sz w:val="16"/>
          <w:szCs w:val="16"/>
        </w:rPr>
      </w:pPr>
    </w:p>
    <w:p w:rsidR="00B77897" w:rsidRDefault="00B77897" w:rsidP="00B77897">
      <w:pPr>
        <w:pStyle w:val="textonovedades"/>
        <w:spacing w:before="120" w:beforeAutospacing="0" w:after="0" w:afterAutospacing="0"/>
        <w:ind w:left="105" w:right="105"/>
        <w:jc w:val="both"/>
        <w:rPr>
          <w:rStyle w:val="negritanovedades"/>
          <w:rFonts w:ascii="Verdana" w:hAnsi="Verdana"/>
          <w:color w:val="000000"/>
          <w:sz w:val="16"/>
          <w:szCs w:val="16"/>
        </w:rPr>
      </w:pPr>
      <w:r>
        <w:rPr>
          <w:rFonts w:ascii="Verdana" w:hAnsi="Verdana"/>
          <w:color w:val="000000"/>
          <w:sz w:val="16"/>
          <w:szCs w:val="16"/>
        </w:rPr>
        <w:t>(*) Vigencia: a partir de los anticipos del impuesto sobre los ingresos brutos cuyos vencimientos operen en el mes de 8/2019.</w:t>
      </w:r>
    </w:p>
    <w:p w:rsidR="008275A3" w:rsidRPr="008275A3" w:rsidRDefault="008275A3">
      <w:pPr>
        <w:rPr>
          <w:rStyle w:val="negritanovedades"/>
          <w:rFonts w:ascii="Verdana" w:hAnsi="Verdana"/>
          <w:color w:val="000000"/>
          <w:sz w:val="16"/>
          <w:szCs w:val="16"/>
        </w:rPr>
      </w:pPr>
      <w:r w:rsidRPr="008275A3">
        <w:rPr>
          <w:rStyle w:val="negritanovedades"/>
          <w:rFonts w:ascii="Verdana" w:hAnsi="Verdana"/>
          <w:color w:val="000000"/>
          <w:sz w:val="16"/>
          <w:szCs w:val="16"/>
        </w:rPr>
        <w:t xml:space="preserve">Los códigos </w:t>
      </w:r>
      <w:r w:rsidRPr="008275A3">
        <w:rPr>
          <w:rStyle w:val="negritanovedades"/>
          <w:rFonts w:ascii="Verdana" w:hAnsi="Verdana"/>
          <w:b/>
          <w:bCs/>
          <w:color w:val="000000"/>
          <w:sz w:val="16"/>
          <w:szCs w:val="16"/>
        </w:rPr>
        <w:t>521010 y 530010</w:t>
      </w:r>
      <w:r w:rsidRPr="008275A3">
        <w:rPr>
          <w:rStyle w:val="negritanovedades"/>
          <w:rFonts w:ascii="Verdana" w:hAnsi="Verdana"/>
          <w:color w:val="000000"/>
          <w:sz w:val="16"/>
          <w:szCs w:val="16"/>
        </w:rPr>
        <w:t xml:space="preserve">, en el Anexo de la RG.25/2019 tienen 2 alícuotas, el 2% (Alícuota especial para transporte de cargas) y el 3% (alícuota general), ambas incluyen las mismas actividades. Es de suponer que las autoridades tienen dudas si </w:t>
      </w:r>
      <w:r w:rsidRPr="008275A3">
        <w:rPr>
          <w:rStyle w:val="negritanovedades"/>
          <w:rFonts w:ascii="Verdana" w:hAnsi="Verdana"/>
          <w:color w:val="000000"/>
          <w:sz w:val="16"/>
          <w:szCs w:val="16"/>
        </w:rPr>
        <w:lastRenderedPageBreak/>
        <w:t xml:space="preserve">esas actividades es transporte de cargas o no. </w:t>
      </w:r>
      <w:r w:rsidR="003C35C9">
        <w:rPr>
          <w:rStyle w:val="negritanovedades"/>
          <w:rFonts w:ascii="Verdana" w:hAnsi="Verdana"/>
          <w:color w:val="000000"/>
          <w:sz w:val="16"/>
          <w:szCs w:val="16"/>
        </w:rPr>
        <w:t>A nuestro entender dichas actividades se pueden considerar transporte de cargas.</w:t>
      </w:r>
    </w:p>
    <w:p w:rsidR="008275A3" w:rsidRPr="008275A3" w:rsidRDefault="008275A3">
      <w:pPr>
        <w:rPr>
          <w:rStyle w:val="negritanovedades"/>
          <w:rFonts w:ascii="Verdana" w:hAnsi="Verdana"/>
          <w:color w:val="000000"/>
          <w:sz w:val="16"/>
          <w:szCs w:val="16"/>
        </w:rPr>
      </w:pPr>
    </w:p>
    <w:p w:rsidR="008275A3" w:rsidRDefault="008275A3">
      <w:pPr>
        <w:rPr>
          <w:rStyle w:val="negritanovedades"/>
          <w:rFonts w:ascii="Verdana" w:hAnsi="Verdana"/>
          <w:b/>
          <w:bCs/>
          <w:color w:val="000000"/>
          <w:sz w:val="16"/>
          <w:szCs w:val="16"/>
        </w:rPr>
      </w:pPr>
    </w:p>
    <w:p w:rsidR="003D041B" w:rsidRPr="00310B66" w:rsidRDefault="008275A3">
      <w:pPr>
        <w:rPr>
          <w:rFonts w:ascii="Verdana" w:hAnsi="Verdana"/>
          <w:color w:val="000000"/>
          <w:sz w:val="16"/>
          <w:szCs w:val="16"/>
        </w:rPr>
      </w:pPr>
      <w:r>
        <w:rPr>
          <w:rStyle w:val="negritanovedades"/>
          <w:rFonts w:ascii="Verdana" w:hAnsi="Verdana"/>
          <w:b/>
          <w:bCs/>
          <w:color w:val="000000"/>
          <w:sz w:val="16"/>
          <w:szCs w:val="16"/>
        </w:rPr>
        <w:t xml:space="preserve">(Ley 1590) </w:t>
      </w:r>
      <w:r w:rsidR="00A56AA5" w:rsidRPr="00310B66">
        <w:rPr>
          <w:rStyle w:val="negritanovedades"/>
          <w:rFonts w:ascii="Verdana" w:hAnsi="Verdana"/>
          <w:b/>
          <w:bCs/>
          <w:color w:val="000000"/>
          <w:sz w:val="16"/>
          <w:szCs w:val="16"/>
        </w:rPr>
        <w:t>Art. 50</w:t>
      </w:r>
      <w:r w:rsidR="00A56AA5" w:rsidRPr="00310B66">
        <w:rPr>
          <w:rFonts w:ascii="Verdana" w:hAnsi="Verdana"/>
          <w:color w:val="000000"/>
          <w:sz w:val="16"/>
          <w:szCs w:val="16"/>
        </w:rPr>
        <w:t> - De conformidad con lo establecido en el artículo 256 del Código Fiscal de la provincia de Formosa, fíjase la alícuota general en el tres por ciento (3%), en tanto no tengan previsto otro tratamiento en esta ley o en el Código Fiscal.</w:t>
      </w:r>
    </w:p>
    <w:p w:rsidR="00A56AA5" w:rsidRPr="00310B66" w:rsidRDefault="008275A3" w:rsidP="00A56AA5">
      <w:pPr>
        <w:spacing w:before="80"/>
        <w:ind w:right="105"/>
        <w:jc w:val="both"/>
        <w:rPr>
          <w:rFonts w:ascii="Verdana" w:hAnsi="Verdana"/>
          <w:color w:val="000000"/>
          <w:sz w:val="16"/>
          <w:szCs w:val="16"/>
          <w:lang w:val="es-AR" w:eastAsia="es-AR"/>
        </w:rPr>
      </w:pPr>
      <w:r>
        <w:rPr>
          <w:rFonts w:ascii="Verdana" w:hAnsi="Verdana"/>
          <w:b/>
          <w:bCs/>
          <w:color w:val="000000"/>
          <w:sz w:val="16"/>
          <w:szCs w:val="16"/>
          <w:lang w:eastAsia="es-AR"/>
        </w:rPr>
        <w:t xml:space="preserve">(Ley 1590) </w:t>
      </w:r>
      <w:r w:rsidR="00A56AA5" w:rsidRPr="00310B66">
        <w:rPr>
          <w:rFonts w:ascii="Verdana" w:hAnsi="Verdana"/>
          <w:b/>
          <w:bCs/>
          <w:color w:val="000000"/>
          <w:sz w:val="16"/>
          <w:szCs w:val="16"/>
          <w:lang w:val="es-AR" w:eastAsia="es-AR"/>
        </w:rPr>
        <w:t>Art. 53</w:t>
      </w:r>
      <w:r w:rsidR="00A56AA5" w:rsidRPr="00310B66">
        <w:rPr>
          <w:rFonts w:ascii="Verdana" w:hAnsi="Verdana"/>
          <w:color w:val="000000"/>
          <w:sz w:val="16"/>
          <w:szCs w:val="16"/>
          <w:lang w:val="es-AR" w:eastAsia="es-AR"/>
        </w:rPr>
        <w:t> - Los contribuyentes del impuesto sobre los ingresos brutos que exterioricen correctamente y abonen sus declaraciones juradas mensuales en término, en efectivo, y en relación estricta con el total de sus Ingresos Brutos, gozarán de una bonificación del veinte por ciento (20%) del impuesto determinado.</w:t>
      </w:r>
    </w:p>
    <w:p w:rsidR="00A56AA5" w:rsidRPr="00310B66" w:rsidRDefault="00343F01" w:rsidP="00A56AA5">
      <w:pPr>
        <w:spacing w:before="80"/>
        <w:ind w:right="105"/>
        <w:jc w:val="both"/>
        <w:rPr>
          <w:rFonts w:ascii="Verdana" w:hAnsi="Verdana"/>
          <w:color w:val="000000"/>
          <w:sz w:val="16"/>
          <w:szCs w:val="16"/>
          <w:lang w:val="es-AR" w:eastAsia="es-AR"/>
        </w:rPr>
      </w:pPr>
      <w:r w:rsidRPr="00310B66">
        <w:rPr>
          <w:rFonts w:ascii="Verdana" w:hAnsi="Verdana"/>
          <w:color w:val="000000"/>
          <w:sz w:val="16"/>
          <w:szCs w:val="16"/>
          <w:lang w:val="es-AR" w:eastAsia="es-AR"/>
        </w:rPr>
        <w:t>L</w:t>
      </w:r>
      <w:r w:rsidR="00A56AA5" w:rsidRPr="00310B66">
        <w:rPr>
          <w:rFonts w:ascii="Verdana" w:hAnsi="Verdana"/>
          <w:color w:val="000000"/>
          <w:sz w:val="16"/>
          <w:szCs w:val="16"/>
          <w:lang w:val="es-AR" w:eastAsia="es-AR"/>
        </w:rPr>
        <w:t>os contribuyentes que no cumplieren con las condiciones de admisibilidad del beneficio, y abonaren con la reducción prevista en el párrafo anterior, serán pasibles de las sanciones que le pudieran corresponder por aplicación de la Legislación Fiscal vigente, sin perjuicio de la anulación de la bonificación incorrectamente computada.</w:t>
      </w:r>
    </w:p>
    <w:p w:rsidR="00343F01" w:rsidRPr="00310B66" w:rsidRDefault="00343F01" w:rsidP="001B3765">
      <w:pPr>
        <w:rPr>
          <w:rFonts w:ascii="Verdana" w:hAnsi="Verdana"/>
          <w:b/>
          <w:i/>
          <w:sz w:val="16"/>
          <w:szCs w:val="16"/>
          <w:u w:val="single"/>
        </w:rPr>
      </w:pPr>
    </w:p>
    <w:p w:rsidR="00343F01" w:rsidRPr="00310B66" w:rsidRDefault="00343F01" w:rsidP="001B3765">
      <w:pPr>
        <w:rPr>
          <w:rFonts w:ascii="Verdana" w:hAnsi="Verdana"/>
          <w:b/>
          <w:i/>
          <w:sz w:val="16"/>
          <w:szCs w:val="16"/>
          <w:u w:val="single"/>
        </w:rPr>
      </w:pPr>
    </w:p>
    <w:p w:rsidR="001B3765" w:rsidRPr="00310B66" w:rsidRDefault="001B3765" w:rsidP="001B3765">
      <w:pPr>
        <w:rPr>
          <w:rFonts w:ascii="Verdana" w:hAnsi="Verdana"/>
          <w:b/>
          <w:i/>
          <w:sz w:val="16"/>
          <w:szCs w:val="16"/>
          <w:u w:val="single"/>
        </w:rPr>
      </w:pPr>
      <w:r w:rsidRPr="00310B66">
        <w:rPr>
          <w:rFonts w:ascii="Verdana" w:hAnsi="Verdana"/>
          <w:b/>
          <w:i/>
          <w:sz w:val="16"/>
          <w:szCs w:val="16"/>
          <w:u w:val="single"/>
        </w:rPr>
        <w:t>PROVINCIA DE FORMOSA</w:t>
      </w:r>
    </w:p>
    <w:p w:rsidR="001B3765" w:rsidRPr="00310B66" w:rsidRDefault="001B3765" w:rsidP="001B3765">
      <w:pPr>
        <w:autoSpaceDE w:val="0"/>
        <w:autoSpaceDN w:val="0"/>
        <w:adjustRightInd w:val="0"/>
        <w:rPr>
          <w:rFonts w:ascii="Verdana" w:hAnsi="Verdana"/>
          <w:sz w:val="16"/>
          <w:szCs w:val="16"/>
        </w:rPr>
      </w:pPr>
    </w:p>
    <w:p w:rsidR="001B3765" w:rsidRPr="00310B66" w:rsidRDefault="001B3765" w:rsidP="001B3765">
      <w:pPr>
        <w:autoSpaceDE w:val="0"/>
        <w:autoSpaceDN w:val="0"/>
        <w:adjustRightInd w:val="0"/>
        <w:rPr>
          <w:rFonts w:ascii="Verdana" w:hAnsi="Verdana"/>
          <w:sz w:val="16"/>
          <w:szCs w:val="16"/>
        </w:rPr>
      </w:pPr>
      <w:r w:rsidRPr="00310B66">
        <w:rPr>
          <w:rFonts w:ascii="Verdana" w:hAnsi="Verdana"/>
          <w:sz w:val="16"/>
          <w:szCs w:val="16"/>
        </w:rPr>
        <w:t xml:space="preserve">Resolución General </w:t>
      </w:r>
      <w:r w:rsidR="00922F53" w:rsidRPr="00310B66">
        <w:rPr>
          <w:rFonts w:ascii="Verdana" w:hAnsi="Verdana"/>
          <w:sz w:val="16"/>
          <w:szCs w:val="16"/>
        </w:rPr>
        <w:t xml:space="preserve"> </w:t>
      </w:r>
      <w:r w:rsidR="00C20839" w:rsidRPr="00310B66">
        <w:rPr>
          <w:rFonts w:ascii="Verdana" w:hAnsi="Verdana"/>
          <w:sz w:val="16"/>
          <w:szCs w:val="16"/>
        </w:rPr>
        <w:t>1</w:t>
      </w:r>
      <w:r w:rsidRPr="00310B66">
        <w:rPr>
          <w:rFonts w:ascii="Verdana" w:hAnsi="Verdana"/>
          <w:sz w:val="16"/>
          <w:szCs w:val="16"/>
        </w:rPr>
        <w:t>/2012 (D.G.R.)</w:t>
      </w:r>
    </w:p>
    <w:p w:rsidR="001B3765" w:rsidRPr="00310B66" w:rsidRDefault="001B3765" w:rsidP="001B3765">
      <w:pPr>
        <w:autoSpaceDE w:val="0"/>
        <w:autoSpaceDN w:val="0"/>
        <w:adjustRightInd w:val="0"/>
        <w:rPr>
          <w:rFonts w:ascii="Verdana" w:hAnsi="Verdana"/>
          <w:sz w:val="16"/>
          <w:szCs w:val="16"/>
        </w:rPr>
      </w:pPr>
    </w:p>
    <w:p w:rsidR="001B3765" w:rsidRPr="00310B66" w:rsidRDefault="001B3765" w:rsidP="001B3765">
      <w:pPr>
        <w:autoSpaceDE w:val="0"/>
        <w:autoSpaceDN w:val="0"/>
        <w:adjustRightInd w:val="0"/>
        <w:rPr>
          <w:rFonts w:ascii="Verdana" w:hAnsi="Verdana" w:cs="Verdana"/>
          <w:sz w:val="16"/>
          <w:szCs w:val="16"/>
          <w:u w:val="single"/>
          <w:lang w:val="es-ES_tradnl" w:eastAsia="es-ES_tradnl"/>
        </w:rPr>
      </w:pPr>
      <w:bookmarkStart w:id="1" w:name="_Toc154451352"/>
      <w:bookmarkStart w:id="2" w:name="_Toc186504137"/>
      <w:bookmarkStart w:id="3" w:name="_Toc186504704"/>
      <w:bookmarkStart w:id="4" w:name="_Toc186511728"/>
      <w:bookmarkStart w:id="5" w:name="_Toc189017636"/>
      <w:bookmarkStart w:id="6" w:name="_Toc189283012"/>
      <w:r w:rsidRPr="00310B66">
        <w:rPr>
          <w:rFonts w:ascii="Verdana" w:hAnsi="Verdana" w:cs="Verdana"/>
          <w:sz w:val="16"/>
          <w:szCs w:val="16"/>
          <w:u w:val="single"/>
          <w:lang w:val="es-ES_tradnl" w:eastAsia="es-ES_tradnl"/>
        </w:rPr>
        <w:t>EMPRESAS DE TRANSPORTES</w:t>
      </w:r>
    </w:p>
    <w:p w:rsidR="001B3765" w:rsidRPr="00310B66" w:rsidRDefault="001B3765" w:rsidP="001B3765">
      <w:pPr>
        <w:autoSpaceDE w:val="0"/>
        <w:autoSpaceDN w:val="0"/>
        <w:adjustRightInd w:val="0"/>
        <w:rPr>
          <w:rFonts w:ascii="Verdana" w:hAnsi="Verdana" w:cs="Verdana"/>
          <w:sz w:val="16"/>
          <w:szCs w:val="16"/>
          <w:lang w:val="es-ES_tradnl" w:eastAsia="es-ES_tradnl"/>
        </w:rPr>
      </w:pPr>
    </w:p>
    <w:p w:rsidR="001B3765" w:rsidRPr="00310B66" w:rsidRDefault="001B3765" w:rsidP="001B3765">
      <w:pPr>
        <w:autoSpaceDE w:val="0"/>
        <w:autoSpaceDN w:val="0"/>
        <w:adjustRightInd w:val="0"/>
        <w:jc w:val="both"/>
        <w:rPr>
          <w:rFonts w:ascii="Verdana" w:hAnsi="Verdana"/>
          <w:sz w:val="16"/>
          <w:szCs w:val="16"/>
          <w:lang w:val="es-ES_tradnl" w:eastAsia="es-ES_tradnl"/>
        </w:rPr>
      </w:pPr>
      <w:r w:rsidRPr="00310B66">
        <w:rPr>
          <w:rFonts w:ascii="Verdana" w:hAnsi="Verdana"/>
          <w:sz w:val="16"/>
          <w:szCs w:val="16"/>
          <w:lang w:val="es-ES_tradnl" w:eastAsia="es-ES_tradnl"/>
        </w:rPr>
        <w:t>ARTÍCULO 443º: Establécese que los sujetos que prestan servicio de transporte ínterjurisdiccional o relacionado con el traslado de productos primarios o de productos en general fuera de la jurisdicción provincial, y todas aquellas contempladas en su parte pertinente, por el Código Fiscal Decreto Ley 865 (t.o.1983 modificatorias y complementarias), y lo establecido en el Artículos 9º delConvenio Multilateral deberán realizar el pago de un anticipo del Impuesto Sobre los Ingresos Brutos en los Puestos de control destacados al efecto, que podrán ser tomados como pago a cuenta del mismo.-</w:t>
      </w:r>
    </w:p>
    <w:p w:rsidR="001B3765" w:rsidRPr="00310B66" w:rsidRDefault="001B3765" w:rsidP="001B3765">
      <w:pPr>
        <w:autoSpaceDE w:val="0"/>
        <w:autoSpaceDN w:val="0"/>
        <w:adjustRightInd w:val="0"/>
        <w:jc w:val="both"/>
        <w:rPr>
          <w:rFonts w:ascii="Verdana" w:hAnsi="Verdana"/>
          <w:sz w:val="16"/>
          <w:szCs w:val="16"/>
          <w:lang w:val="es-ES_tradnl" w:eastAsia="es-ES_tradnl"/>
        </w:rPr>
      </w:pPr>
    </w:p>
    <w:p w:rsidR="001B3765" w:rsidRPr="00310B66" w:rsidRDefault="001B3765" w:rsidP="001B3765">
      <w:pPr>
        <w:autoSpaceDE w:val="0"/>
        <w:autoSpaceDN w:val="0"/>
        <w:adjustRightInd w:val="0"/>
        <w:jc w:val="both"/>
        <w:rPr>
          <w:rFonts w:ascii="Verdana" w:hAnsi="Verdana"/>
          <w:sz w:val="16"/>
          <w:szCs w:val="16"/>
          <w:lang w:val="es-ES_tradnl" w:eastAsia="es-ES_tradnl"/>
        </w:rPr>
      </w:pPr>
      <w:r w:rsidRPr="00310B66">
        <w:rPr>
          <w:rFonts w:ascii="Verdana" w:hAnsi="Verdana"/>
          <w:sz w:val="16"/>
          <w:szCs w:val="16"/>
          <w:lang w:val="es-ES_tradnl" w:eastAsia="es-ES_tradnl"/>
        </w:rPr>
        <w:t xml:space="preserve">ARTÍCULO 444º: Para la determinación del Impuesto a que hace referencia el artículo anterior, se tomara como base imponible el precio cobrado por el servicio y se aplicará la alícuota del Dos por ciento (2 %). En caso de no poder determinar el costo del flete se aplicará como base imponible la suma de pesos Ciento Cincuenta ($ 120,00) </w:t>
      </w:r>
      <w:r w:rsidRPr="00310B66">
        <w:rPr>
          <w:rFonts w:ascii="Verdana" w:hAnsi="Verdana"/>
          <w:b/>
          <w:i/>
          <w:sz w:val="16"/>
          <w:szCs w:val="16"/>
          <w:u w:val="single"/>
          <w:lang w:val="es-ES_tradnl" w:eastAsia="es-ES_tradnl"/>
        </w:rPr>
        <w:t>(sic)</w:t>
      </w:r>
      <w:r w:rsidRPr="00310B66">
        <w:rPr>
          <w:rFonts w:ascii="Verdana" w:hAnsi="Verdana"/>
          <w:sz w:val="16"/>
          <w:szCs w:val="16"/>
          <w:lang w:val="es-ES_tradnl" w:eastAsia="es-ES_tradnl"/>
        </w:rPr>
        <w:t xml:space="preserve"> por cada 100 Km. para la determinación del gravamen.-</w:t>
      </w:r>
    </w:p>
    <w:p w:rsidR="001B3765" w:rsidRPr="00310B66" w:rsidRDefault="001B3765" w:rsidP="001B3765">
      <w:pPr>
        <w:autoSpaceDE w:val="0"/>
        <w:autoSpaceDN w:val="0"/>
        <w:adjustRightInd w:val="0"/>
        <w:jc w:val="both"/>
        <w:rPr>
          <w:rFonts w:ascii="Verdana" w:hAnsi="Verdana"/>
          <w:sz w:val="16"/>
          <w:szCs w:val="16"/>
          <w:lang w:val="es-ES_tradnl" w:eastAsia="es-ES_tradnl"/>
        </w:rPr>
      </w:pPr>
    </w:p>
    <w:p w:rsidR="001B3765" w:rsidRPr="00310B66" w:rsidRDefault="001B3765" w:rsidP="001B3765">
      <w:pPr>
        <w:autoSpaceDE w:val="0"/>
        <w:autoSpaceDN w:val="0"/>
        <w:adjustRightInd w:val="0"/>
        <w:jc w:val="both"/>
        <w:rPr>
          <w:rFonts w:ascii="Verdana" w:hAnsi="Verdana"/>
          <w:sz w:val="16"/>
          <w:szCs w:val="16"/>
          <w:lang w:val="es-ES_tradnl" w:eastAsia="es-ES_tradnl"/>
        </w:rPr>
      </w:pPr>
      <w:r w:rsidRPr="00310B66">
        <w:rPr>
          <w:rFonts w:ascii="Verdana" w:hAnsi="Verdana"/>
          <w:sz w:val="16"/>
          <w:szCs w:val="16"/>
          <w:lang w:val="es-ES_tradnl" w:eastAsia="es-ES_tradnl"/>
        </w:rPr>
        <w:t>ARTÍCULO 445°: Los responsables del transporte, deberán presentar en los  puestos de Control, las siguientes documentaciones: Facturas, Remitos, Carta de Porte, u otros que fuera emitido según el régimen de facturación aprobada por la Resolución Nº 1415 D.G.I., sus modificatorias y complementarias. En el caso de mercaderías transportadas hacia esta Jurisdicción, y/o servicio de encomienda, deberán agregar todos los remitos de mercaderías transportadas hacia esta Jurisdicción los a la Hoja de Ruta, dejando copia de dichas documentaciones en los Puestos de Control Caminero. En caso de verificarse en los Puestos de Control diferencias entre los manifiestos y remitos adjuntos, se presumirá la responsabilidad de la Empresa transportista.-</w:t>
      </w:r>
    </w:p>
    <w:p w:rsidR="001B3765" w:rsidRPr="00310B66" w:rsidRDefault="001B3765" w:rsidP="001B3765">
      <w:pPr>
        <w:autoSpaceDE w:val="0"/>
        <w:autoSpaceDN w:val="0"/>
        <w:adjustRightInd w:val="0"/>
        <w:jc w:val="both"/>
        <w:rPr>
          <w:rFonts w:ascii="Verdana" w:hAnsi="Verdana"/>
          <w:sz w:val="16"/>
          <w:szCs w:val="16"/>
          <w:lang w:val="es-ES_tradnl" w:eastAsia="es-ES_tradnl"/>
        </w:rPr>
      </w:pPr>
    </w:p>
    <w:p w:rsidR="001B3765" w:rsidRPr="00310B66" w:rsidRDefault="001B3765" w:rsidP="001B3765">
      <w:pPr>
        <w:autoSpaceDE w:val="0"/>
        <w:autoSpaceDN w:val="0"/>
        <w:adjustRightInd w:val="0"/>
        <w:jc w:val="both"/>
        <w:rPr>
          <w:rFonts w:ascii="Verdana" w:hAnsi="Verdana"/>
          <w:sz w:val="16"/>
          <w:szCs w:val="16"/>
          <w:lang w:val="es-ES_tradnl" w:eastAsia="es-ES_tradnl"/>
        </w:rPr>
      </w:pPr>
      <w:r w:rsidRPr="00310B66">
        <w:rPr>
          <w:rFonts w:ascii="Verdana" w:hAnsi="Verdana"/>
          <w:sz w:val="16"/>
          <w:szCs w:val="16"/>
          <w:lang w:val="es-ES_tradnl" w:eastAsia="es-ES_tradnl"/>
        </w:rPr>
        <w:t>ARTÍCULO 446°: Será obligación formal de las Empresas de Transporte Terrestre de Cargas Generales, informar con carácter de declaración jurada en forma mensual, hasta el día Diez (10) de cada mes calendario, la nómina de clientes no inscriptos en Convenio Multilateral del Impuesto sobre los Ingresos Brutos Jurisdicción Formosa que requieran sus servicios para el transporte de mercaderías hacia esta Jurisdicción, consignando los datos fiscales relevantes.-</w:t>
      </w:r>
    </w:p>
    <w:p w:rsidR="001B3765" w:rsidRPr="00310B66" w:rsidRDefault="001B3765" w:rsidP="001B3765">
      <w:pPr>
        <w:autoSpaceDE w:val="0"/>
        <w:autoSpaceDN w:val="0"/>
        <w:adjustRightInd w:val="0"/>
        <w:jc w:val="both"/>
        <w:rPr>
          <w:rFonts w:ascii="Verdana" w:hAnsi="Verdana"/>
          <w:sz w:val="16"/>
          <w:szCs w:val="16"/>
          <w:lang w:val="es-ES_tradnl" w:eastAsia="es-ES_tradnl"/>
        </w:rPr>
      </w:pPr>
    </w:p>
    <w:p w:rsidR="001B3765" w:rsidRPr="00310B66" w:rsidRDefault="001B3765" w:rsidP="001B3765">
      <w:pPr>
        <w:autoSpaceDE w:val="0"/>
        <w:autoSpaceDN w:val="0"/>
        <w:adjustRightInd w:val="0"/>
        <w:jc w:val="both"/>
        <w:rPr>
          <w:rFonts w:ascii="Verdana" w:hAnsi="Verdana"/>
          <w:sz w:val="16"/>
          <w:szCs w:val="16"/>
          <w:lang w:val="es-ES_tradnl" w:eastAsia="es-ES_tradnl"/>
        </w:rPr>
      </w:pPr>
      <w:r w:rsidRPr="00310B66">
        <w:rPr>
          <w:rFonts w:ascii="Verdana" w:hAnsi="Verdana"/>
          <w:sz w:val="16"/>
          <w:szCs w:val="16"/>
          <w:lang w:val="es-ES_tradnl" w:eastAsia="es-ES_tradnl"/>
        </w:rPr>
        <w:t>ARTICULO 447º: Establécese  que la falta de cumplimiento a lo normado en el artículo anterior será pasible de la sanción prevista en el Artículo 58 inc. 1° de la Ley 954, que aplica una multa de CIEN UNIDADES TRIBUTARIAS (100 U.T.) Siempre que la conducta no encuadre en otro tipo más gravoso.-</w:t>
      </w:r>
    </w:p>
    <w:p w:rsidR="001B3765" w:rsidRPr="00310B66" w:rsidRDefault="001B3765" w:rsidP="001B3765">
      <w:pPr>
        <w:autoSpaceDE w:val="0"/>
        <w:autoSpaceDN w:val="0"/>
        <w:adjustRightInd w:val="0"/>
        <w:jc w:val="both"/>
        <w:rPr>
          <w:rFonts w:ascii="Verdana" w:hAnsi="Verdana"/>
          <w:sz w:val="16"/>
          <w:szCs w:val="16"/>
          <w:lang w:val="es-ES_tradnl" w:eastAsia="es-ES_tradnl"/>
        </w:rPr>
      </w:pPr>
    </w:p>
    <w:p w:rsidR="001B3765" w:rsidRPr="00310B66" w:rsidRDefault="001B3765" w:rsidP="001B3765">
      <w:pPr>
        <w:autoSpaceDE w:val="0"/>
        <w:autoSpaceDN w:val="0"/>
        <w:adjustRightInd w:val="0"/>
        <w:jc w:val="both"/>
        <w:rPr>
          <w:rFonts w:ascii="Verdana" w:hAnsi="Verdana"/>
          <w:sz w:val="16"/>
          <w:szCs w:val="16"/>
          <w:lang w:val="es-ES_tradnl" w:eastAsia="es-ES_tradnl"/>
        </w:rPr>
      </w:pPr>
      <w:r w:rsidRPr="00310B66">
        <w:rPr>
          <w:rFonts w:ascii="Verdana" w:hAnsi="Verdana"/>
          <w:sz w:val="16"/>
          <w:szCs w:val="16"/>
          <w:lang w:val="es-ES_tradnl" w:eastAsia="es-ES_tradnl"/>
        </w:rPr>
        <w:t>ARTÍCULO448º: Cuando la carga se traslade por medio de transporte propio, no será exigible el pago de gravamen referido. En este caso deberán ser coincidentes los datos que figuran en el formulario de traslado de producto del vendedor o remitente de la carga con los del titular del automotor.-</w:t>
      </w:r>
    </w:p>
    <w:p w:rsidR="001B3765" w:rsidRPr="00310B66" w:rsidRDefault="001B3765" w:rsidP="001B3765">
      <w:pPr>
        <w:autoSpaceDE w:val="0"/>
        <w:autoSpaceDN w:val="0"/>
        <w:adjustRightInd w:val="0"/>
        <w:jc w:val="both"/>
        <w:rPr>
          <w:rFonts w:ascii="Verdana" w:hAnsi="Verdana"/>
          <w:sz w:val="16"/>
          <w:szCs w:val="16"/>
          <w:lang w:val="es-ES_tradnl" w:eastAsia="es-ES_tradnl"/>
        </w:rPr>
      </w:pPr>
    </w:p>
    <w:p w:rsidR="001B3765" w:rsidRPr="00310B66" w:rsidRDefault="001B3765" w:rsidP="001B3765">
      <w:pPr>
        <w:autoSpaceDE w:val="0"/>
        <w:autoSpaceDN w:val="0"/>
        <w:adjustRightInd w:val="0"/>
        <w:jc w:val="both"/>
        <w:rPr>
          <w:rFonts w:ascii="Verdana" w:hAnsi="Verdana"/>
          <w:sz w:val="16"/>
          <w:szCs w:val="16"/>
          <w:lang w:val="es-ES_tradnl" w:eastAsia="es-ES_tradnl"/>
        </w:rPr>
      </w:pPr>
      <w:r w:rsidRPr="00310B66">
        <w:rPr>
          <w:rFonts w:ascii="Verdana" w:hAnsi="Verdana"/>
          <w:sz w:val="16"/>
          <w:szCs w:val="16"/>
          <w:lang w:val="es-ES_tradnl" w:eastAsia="es-ES_tradnl"/>
        </w:rPr>
        <w:t>SANCIONES</w:t>
      </w:r>
    </w:p>
    <w:p w:rsidR="001B3765" w:rsidRPr="00310B66" w:rsidRDefault="001B3765" w:rsidP="001B3765">
      <w:pPr>
        <w:autoSpaceDE w:val="0"/>
        <w:autoSpaceDN w:val="0"/>
        <w:adjustRightInd w:val="0"/>
        <w:jc w:val="both"/>
        <w:rPr>
          <w:rFonts w:ascii="Verdana" w:hAnsi="Verdana"/>
          <w:sz w:val="16"/>
          <w:szCs w:val="16"/>
          <w:lang w:val="es-ES_tradnl" w:eastAsia="es-ES_tradnl"/>
        </w:rPr>
      </w:pPr>
    </w:p>
    <w:p w:rsidR="001B3765" w:rsidRPr="00310B66" w:rsidRDefault="001B3765" w:rsidP="001B3765">
      <w:pPr>
        <w:autoSpaceDE w:val="0"/>
        <w:autoSpaceDN w:val="0"/>
        <w:adjustRightInd w:val="0"/>
        <w:jc w:val="both"/>
        <w:rPr>
          <w:rFonts w:ascii="Verdana" w:hAnsi="Verdana"/>
          <w:sz w:val="16"/>
          <w:szCs w:val="16"/>
          <w:lang w:val="es-ES_tradnl" w:eastAsia="es-ES_tradnl"/>
        </w:rPr>
      </w:pPr>
      <w:r w:rsidRPr="00310B66">
        <w:rPr>
          <w:rFonts w:ascii="Verdana" w:hAnsi="Verdana"/>
          <w:sz w:val="16"/>
          <w:szCs w:val="16"/>
          <w:lang w:val="es-ES_tradnl" w:eastAsia="es-ES_tradnl"/>
        </w:rPr>
        <w:t>ARTÍCULO 449º: Con respecto a los contribuyentes extraprovinciales no inscriptos en la Jurisdicción de la Provincia de Formosa en el Convenio Multilateral, corresponderá abonar la multa automática de DOSCIENTAS UNIDADES TRIBUTARIAS (200 U.T.), prevista en el ART. 58 INCISO 8. (LEY 954º S/MODIFICATORIAS Y COMPLEMENTARIAS)”.</w:t>
      </w:r>
    </w:p>
    <w:p w:rsidR="001B3765" w:rsidRPr="00310B66" w:rsidRDefault="001B3765" w:rsidP="001B3765">
      <w:pPr>
        <w:autoSpaceDE w:val="0"/>
        <w:autoSpaceDN w:val="0"/>
        <w:adjustRightInd w:val="0"/>
        <w:jc w:val="both"/>
        <w:rPr>
          <w:rFonts w:ascii="Verdana" w:hAnsi="Verdana"/>
          <w:sz w:val="16"/>
          <w:szCs w:val="16"/>
          <w:lang w:val="es-ES_tradnl" w:eastAsia="es-ES_tradnl"/>
        </w:rPr>
      </w:pPr>
    </w:p>
    <w:p w:rsidR="00A56AA5" w:rsidRPr="00310B66" w:rsidRDefault="001B3765" w:rsidP="001B3765">
      <w:pPr>
        <w:autoSpaceDE w:val="0"/>
        <w:autoSpaceDN w:val="0"/>
        <w:adjustRightInd w:val="0"/>
        <w:jc w:val="both"/>
        <w:rPr>
          <w:rFonts w:ascii="Verdana" w:hAnsi="Verdana"/>
          <w:sz w:val="16"/>
          <w:szCs w:val="16"/>
          <w:lang w:val="es-AR"/>
        </w:rPr>
      </w:pPr>
      <w:r w:rsidRPr="00310B66">
        <w:rPr>
          <w:rFonts w:ascii="Verdana" w:hAnsi="Verdana"/>
          <w:sz w:val="16"/>
          <w:szCs w:val="16"/>
          <w:lang w:val="es-ES_tradnl" w:eastAsia="es-ES_tradnl"/>
        </w:rPr>
        <w:t xml:space="preserve">ARTÍCULO 450º: Los sujetos responsables, transportistas o contribuyentes locales que obstaculicen las tareas de fiscalización, verificación y determinación impositiva en los Puestos de Control Caminero y/o evadan el mismo, serán pasible de multa automática establecida por el artículo 5° de la Ley 954, en la suma de </w:t>
      </w:r>
      <w:r w:rsidRPr="00310B66">
        <w:rPr>
          <w:rFonts w:ascii="Verdana" w:hAnsi="Verdana"/>
          <w:sz w:val="16"/>
          <w:szCs w:val="16"/>
          <w:lang w:eastAsia="es-ES_tradnl"/>
        </w:rPr>
        <w:t>DOSCIENTAS OCHENTA UNIDADES TRIBUTARIAS (280 U.T.).</w:t>
      </w:r>
      <w:bookmarkEnd w:id="1"/>
      <w:bookmarkEnd w:id="2"/>
      <w:bookmarkEnd w:id="3"/>
      <w:bookmarkEnd w:id="4"/>
      <w:bookmarkEnd w:id="5"/>
      <w:bookmarkEnd w:id="6"/>
    </w:p>
    <w:p w:rsidR="00310B66" w:rsidRPr="00310B66" w:rsidRDefault="00310B66">
      <w:pPr>
        <w:autoSpaceDE w:val="0"/>
        <w:autoSpaceDN w:val="0"/>
        <w:adjustRightInd w:val="0"/>
        <w:jc w:val="both"/>
        <w:rPr>
          <w:rFonts w:ascii="Verdana" w:hAnsi="Verdana"/>
          <w:sz w:val="16"/>
          <w:szCs w:val="16"/>
          <w:lang w:val="es-AR"/>
        </w:rPr>
      </w:pPr>
    </w:p>
    <w:sectPr w:rsidR="00310B66" w:rsidRPr="00310B66" w:rsidSect="00310B66">
      <w:pgSz w:w="12240" w:h="15840"/>
      <w:pgMar w:top="907" w:right="851" w:bottom="81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2F3C"/>
    <w:multiLevelType w:val="hybridMultilevel"/>
    <w:tmpl w:val="9214799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D026F4B"/>
    <w:multiLevelType w:val="hybridMultilevel"/>
    <w:tmpl w:val="4F3064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76"/>
    <w:rsid w:val="00057015"/>
    <w:rsid w:val="000A583C"/>
    <w:rsid w:val="000B56EC"/>
    <w:rsid w:val="00104E6F"/>
    <w:rsid w:val="00196B25"/>
    <w:rsid w:val="001B1260"/>
    <w:rsid w:val="001B3765"/>
    <w:rsid w:val="001B72CD"/>
    <w:rsid w:val="001C434B"/>
    <w:rsid w:val="002244BF"/>
    <w:rsid w:val="00247CE8"/>
    <w:rsid w:val="00256787"/>
    <w:rsid w:val="002A36CA"/>
    <w:rsid w:val="00310B66"/>
    <w:rsid w:val="00343F01"/>
    <w:rsid w:val="0038148E"/>
    <w:rsid w:val="0039523B"/>
    <w:rsid w:val="003C35C9"/>
    <w:rsid w:val="003D041B"/>
    <w:rsid w:val="003E14D7"/>
    <w:rsid w:val="0042541C"/>
    <w:rsid w:val="00446213"/>
    <w:rsid w:val="00454D19"/>
    <w:rsid w:val="00484FDA"/>
    <w:rsid w:val="004A4A0F"/>
    <w:rsid w:val="004F5CC6"/>
    <w:rsid w:val="00535B9C"/>
    <w:rsid w:val="005B7A91"/>
    <w:rsid w:val="006003E6"/>
    <w:rsid w:val="006C7272"/>
    <w:rsid w:val="006F07B9"/>
    <w:rsid w:val="00737293"/>
    <w:rsid w:val="0074742C"/>
    <w:rsid w:val="00770876"/>
    <w:rsid w:val="007A6712"/>
    <w:rsid w:val="007B799A"/>
    <w:rsid w:val="008275A3"/>
    <w:rsid w:val="00830960"/>
    <w:rsid w:val="008813F7"/>
    <w:rsid w:val="008A3669"/>
    <w:rsid w:val="008B6E81"/>
    <w:rsid w:val="00922F53"/>
    <w:rsid w:val="00956177"/>
    <w:rsid w:val="009A2DA2"/>
    <w:rsid w:val="009D068A"/>
    <w:rsid w:val="00A56AA5"/>
    <w:rsid w:val="00A83422"/>
    <w:rsid w:val="00B53216"/>
    <w:rsid w:val="00B67081"/>
    <w:rsid w:val="00B77897"/>
    <w:rsid w:val="00BA7D73"/>
    <w:rsid w:val="00BC6188"/>
    <w:rsid w:val="00BF309B"/>
    <w:rsid w:val="00C051EC"/>
    <w:rsid w:val="00C20839"/>
    <w:rsid w:val="00C60C1F"/>
    <w:rsid w:val="00CC36EB"/>
    <w:rsid w:val="00CD1C58"/>
    <w:rsid w:val="00D24480"/>
    <w:rsid w:val="00D67666"/>
    <w:rsid w:val="00D704DE"/>
    <w:rsid w:val="00FD19AC"/>
    <w:rsid w:val="00FF5A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EDB97F-ECAC-499A-83E9-35E310A4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1B3765"/>
    <w:pPr>
      <w:keepNext/>
      <w:spacing w:after="120" w:line="360" w:lineRule="auto"/>
      <w:outlineLvl w:val="1"/>
    </w:pPr>
    <w:rPr>
      <w:rFonts w:ascii="Verdana" w:hAnsi="Verdana"/>
      <w:sz w:val="22"/>
      <w:szCs w:val="22"/>
      <w:u w:val="single"/>
      <w:lang w:val="es-ES_tradnl"/>
    </w:rPr>
  </w:style>
  <w:style w:type="character" w:default="1" w:styleId="Fuentedeprrafopredeter">
    <w:name w:val="Default Paragraph Font"/>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Times New Roman" w:eastAsia="Times New Roman" w:hAnsi="Times New Roman"/>
      <w:color w:val="000000"/>
      <w:sz w:val="24"/>
      <w:szCs w:val="24"/>
      <w:lang w:val="es-ES" w:eastAsia="es-ES"/>
    </w:rPr>
  </w:style>
  <w:style w:type="paragraph" w:styleId="Textoindependiente">
    <w:name w:val="Body Text"/>
    <w:basedOn w:val="Normal"/>
    <w:semiHidden/>
    <w:pPr>
      <w:autoSpaceDE w:val="0"/>
      <w:autoSpaceDN w:val="0"/>
      <w:adjustRightInd w:val="0"/>
      <w:jc w:val="both"/>
    </w:pPr>
  </w:style>
  <w:style w:type="paragraph" w:styleId="Textodeglobo">
    <w:name w:val="Balloon Text"/>
    <w:basedOn w:val="Normal"/>
    <w:link w:val="TextodegloboCar"/>
    <w:uiPriority w:val="99"/>
    <w:semiHidden/>
    <w:unhideWhenUsed/>
    <w:rsid w:val="008B6E81"/>
    <w:rPr>
      <w:rFonts w:ascii="Tahoma" w:hAnsi="Tahoma"/>
      <w:sz w:val="16"/>
      <w:szCs w:val="16"/>
    </w:rPr>
  </w:style>
  <w:style w:type="character" w:customStyle="1" w:styleId="TextodegloboCar">
    <w:name w:val="Texto de globo Car"/>
    <w:link w:val="Textodeglobo"/>
    <w:uiPriority w:val="99"/>
    <w:semiHidden/>
    <w:rsid w:val="008B6E81"/>
    <w:rPr>
      <w:rFonts w:ascii="Tahoma" w:eastAsia="Times New Roman" w:hAnsi="Tahoma" w:cs="Tahoma"/>
      <w:sz w:val="16"/>
      <w:szCs w:val="16"/>
      <w:lang w:val="es-ES" w:eastAsia="es-ES"/>
    </w:rPr>
  </w:style>
  <w:style w:type="character" w:customStyle="1" w:styleId="negritanovedades">
    <w:name w:val="negritanovedades"/>
    <w:rsid w:val="00057015"/>
  </w:style>
  <w:style w:type="character" w:customStyle="1" w:styleId="apple-converted-space">
    <w:name w:val="apple-converted-space"/>
    <w:rsid w:val="00057015"/>
  </w:style>
  <w:style w:type="paragraph" w:customStyle="1" w:styleId="sangrianovedades">
    <w:name w:val="sangrianovedades"/>
    <w:basedOn w:val="Normal"/>
    <w:rsid w:val="00484FDA"/>
    <w:pPr>
      <w:spacing w:before="100" w:beforeAutospacing="1" w:after="100" w:afterAutospacing="1"/>
    </w:pPr>
    <w:rPr>
      <w:lang w:val="es-AR" w:eastAsia="es-AR"/>
    </w:rPr>
  </w:style>
  <w:style w:type="character" w:customStyle="1" w:styleId="hipervnculo">
    <w:name w:val="hipervnculo"/>
    <w:rsid w:val="00484FDA"/>
  </w:style>
  <w:style w:type="paragraph" w:styleId="NormalWeb">
    <w:name w:val="Normal (Web)"/>
    <w:basedOn w:val="Normal"/>
    <w:uiPriority w:val="99"/>
    <w:semiHidden/>
    <w:unhideWhenUsed/>
    <w:rsid w:val="00484FDA"/>
    <w:pPr>
      <w:spacing w:before="100" w:beforeAutospacing="1" w:after="100" w:afterAutospacing="1"/>
    </w:pPr>
    <w:rPr>
      <w:lang w:val="es-AR" w:eastAsia="es-AR"/>
    </w:rPr>
  </w:style>
  <w:style w:type="paragraph" w:customStyle="1" w:styleId="tablaizquierda8">
    <w:name w:val="tablaizquierda8"/>
    <w:basedOn w:val="Normal"/>
    <w:rsid w:val="00484FDA"/>
    <w:pPr>
      <w:spacing w:before="100" w:beforeAutospacing="1" w:after="100" w:afterAutospacing="1"/>
    </w:pPr>
    <w:rPr>
      <w:lang w:val="es-AR" w:eastAsia="es-AR"/>
    </w:rPr>
  </w:style>
  <w:style w:type="paragraph" w:customStyle="1" w:styleId="tablacentrado8">
    <w:name w:val="tablacentrado8"/>
    <w:basedOn w:val="Normal"/>
    <w:rsid w:val="00484FDA"/>
    <w:pPr>
      <w:spacing w:before="100" w:beforeAutospacing="1" w:after="100" w:afterAutospacing="1"/>
    </w:pPr>
    <w:rPr>
      <w:lang w:val="es-AR" w:eastAsia="es-AR"/>
    </w:rPr>
  </w:style>
  <w:style w:type="paragraph" w:customStyle="1" w:styleId="errepar1erfrancesnovedades">
    <w:name w:val="errepar_1erfrancesnovedades"/>
    <w:basedOn w:val="Normal"/>
    <w:rsid w:val="00484FDA"/>
    <w:pPr>
      <w:spacing w:before="100" w:beforeAutospacing="1" w:after="100" w:afterAutospacing="1"/>
    </w:pPr>
    <w:rPr>
      <w:lang w:val="es-AR" w:eastAsia="es-AR"/>
    </w:rPr>
  </w:style>
  <w:style w:type="character" w:customStyle="1" w:styleId="textonovedades1">
    <w:name w:val="textonovedades1"/>
    <w:rsid w:val="007A6712"/>
  </w:style>
  <w:style w:type="character" w:customStyle="1" w:styleId="cursivanovedades">
    <w:name w:val="cursivanovedades"/>
    <w:rsid w:val="007A6712"/>
  </w:style>
  <w:style w:type="character" w:customStyle="1" w:styleId="superindicenovedades">
    <w:name w:val="superindicenovedades"/>
    <w:rsid w:val="007A6712"/>
  </w:style>
  <w:style w:type="character" w:customStyle="1" w:styleId="Ttulo2Car">
    <w:name w:val="Título 2 Car"/>
    <w:link w:val="Ttulo2"/>
    <w:rsid w:val="001B3765"/>
    <w:rPr>
      <w:rFonts w:ascii="Verdana" w:eastAsia="Times New Roman" w:hAnsi="Verdana"/>
      <w:sz w:val="22"/>
      <w:szCs w:val="22"/>
      <w:u w:val="single"/>
      <w:lang w:val="es-ES_tradnl" w:eastAsia="es-ES"/>
    </w:rPr>
  </w:style>
  <w:style w:type="paragraph" w:customStyle="1" w:styleId="textonovedades">
    <w:name w:val="textonovedades"/>
    <w:basedOn w:val="Normal"/>
    <w:rsid w:val="00B77897"/>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2044">
      <w:bodyDiv w:val="1"/>
      <w:marLeft w:val="0"/>
      <w:marRight w:val="0"/>
      <w:marTop w:val="0"/>
      <w:marBottom w:val="0"/>
      <w:divBdr>
        <w:top w:val="none" w:sz="0" w:space="0" w:color="auto"/>
        <w:left w:val="none" w:sz="0" w:space="0" w:color="auto"/>
        <w:bottom w:val="none" w:sz="0" w:space="0" w:color="auto"/>
        <w:right w:val="none" w:sz="0" w:space="0" w:color="auto"/>
      </w:divBdr>
    </w:div>
    <w:div w:id="299120723">
      <w:bodyDiv w:val="1"/>
      <w:marLeft w:val="0"/>
      <w:marRight w:val="0"/>
      <w:marTop w:val="0"/>
      <w:marBottom w:val="0"/>
      <w:divBdr>
        <w:top w:val="none" w:sz="0" w:space="0" w:color="auto"/>
        <w:left w:val="none" w:sz="0" w:space="0" w:color="auto"/>
        <w:bottom w:val="none" w:sz="0" w:space="0" w:color="auto"/>
        <w:right w:val="none" w:sz="0" w:space="0" w:color="auto"/>
      </w:divBdr>
    </w:div>
    <w:div w:id="722488604">
      <w:bodyDiv w:val="1"/>
      <w:marLeft w:val="0"/>
      <w:marRight w:val="0"/>
      <w:marTop w:val="0"/>
      <w:marBottom w:val="0"/>
      <w:divBdr>
        <w:top w:val="none" w:sz="0" w:space="0" w:color="auto"/>
        <w:left w:val="none" w:sz="0" w:space="0" w:color="auto"/>
        <w:bottom w:val="none" w:sz="0" w:space="0" w:color="auto"/>
        <w:right w:val="none" w:sz="0" w:space="0" w:color="auto"/>
      </w:divBdr>
    </w:div>
    <w:div w:id="11825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5864</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PROVINCIA DE LA PAMPA</vt:lpstr>
    </vt:vector>
  </TitlesOfParts>
  <Company>Sajo Computacion</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DE LA PAMPA</dc:title>
  <dc:subject/>
  <dc:creator>Fadeeac</dc:creator>
  <cp:keywords/>
  <cp:lastModifiedBy>Betty Schanz</cp:lastModifiedBy>
  <cp:revision>2</cp:revision>
  <cp:lastPrinted>2019-08-16T12:18:00Z</cp:lastPrinted>
  <dcterms:created xsi:type="dcterms:W3CDTF">2019-08-16T19:28:00Z</dcterms:created>
  <dcterms:modified xsi:type="dcterms:W3CDTF">2019-08-16T19:28:00Z</dcterms:modified>
</cp:coreProperties>
</file>