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1A609" w14:textId="77777777" w:rsidR="007C7168" w:rsidRDefault="007C7168" w:rsidP="007C7168">
      <w:pPr>
        <w:rPr>
          <w:rFonts w:ascii="Arial" w:hAnsi="Arial" w:cs="Arial"/>
          <w:b/>
          <w:bCs/>
          <w:sz w:val="32"/>
        </w:rPr>
      </w:pPr>
      <w:r>
        <w:rPr>
          <w:rFonts w:ascii="Arial" w:hAnsi="Arial" w:cs="Arial"/>
          <w:b/>
          <w:bCs/>
          <w:sz w:val="32"/>
        </w:rPr>
        <w:t>DEPARTAMENTO DE ESTUDIOS TRIBUTARIOS</w:t>
      </w:r>
    </w:p>
    <w:p w14:paraId="5FAB5786" w14:textId="77777777" w:rsidR="007C7168" w:rsidRDefault="007C7168" w:rsidP="007C7168">
      <w:pPr>
        <w:rPr>
          <w:rFonts w:ascii="Arial" w:hAnsi="Arial" w:cs="Arial"/>
          <w:b/>
          <w:bCs/>
          <w:sz w:val="32"/>
        </w:rPr>
      </w:pPr>
    </w:p>
    <w:p w14:paraId="4B49889F" w14:textId="7EEC578C" w:rsidR="007C7168" w:rsidRDefault="00C86033" w:rsidP="007C7168">
      <w:pPr>
        <w:jc w:val="right"/>
        <w:rPr>
          <w:rFonts w:ascii="Arial" w:hAnsi="Arial" w:cs="Arial"/>
          <w:b/>
          <w:bCs/>
          <w:sz w:val="36"/>
          <w:szCs w:val="36"/>
        </w:rPr>
      </w:pPr>
      <w:r>
        <w:rPr>
          <w:rFonts w:ascii="Arial" w:hAnsi="Arial" w:cs="Arial"/>
          <w:b/>
          <w:bCs/>
          <w:sz w:val="36"/>
          <w:szCs w:val="36"/>
        </w:rPr>
        <w:t>C20</w:t>
      </w:r>
      <w:r w:rsidR="003B62E5">
        <w:rPr>
          <w:rFonts w:ascii="Arial" w:hAnsi="Arial" w:cs="Arial"/>
          <w:b/>
          <w:bCs/>
          <w:sz w:val="36"/>
          <w:szCs w:val="36"/>
        </w:rPr>
        <w:t>1</w:t>
      </w:r>
      <w:r w:rsidR="003243E1">
        <w:rPr>
          <w:rFonts w:ascii="Arial" w:hAnsi="Arial" w:cs="Arial"/>
          <w:b/>
          <w:bCs/>
          <w:sz w:val="36"/>
          <w:szCs w:val="36"/>
        </w:rPr>
        <w:t>9</w:t>
      </w:r>
      <w:r w:rsidR="003B62E5">
        <w:rPr>
          <w:rFonts w:ascii="Arial" w:hAnsi="Arial" w:cs="Arial"/>
          <w:b/>
          <w:bCs/>
          <w:sz w:val="36"/>
          <w:szCs w:val="36"/>
        </w:rPr>
        <w:t>-</w:t>
      </w:r>
      <w:r w:rsidR="00A552F5">
        <w:rPr>
          <w:rFonts w:ascii="Arial" w:hAnsi="Arial" w:cs="Arial"/>
          <w:b/>
          <w:bCs/>
          <w:sz w:val="36"/>
          <w:szCs w:val="36"/>
        </w:rPr>
        <w:t>8</w:t>
      </w:r>
      <w:r w:rsidR="00C57D6C">
        <w:rPr>
          <w:rFonts w:ascii="Arial" w:hAnsi="Arial" w:cs="Arial"/>
          <w:b/>
          <w:bCs/>
          <w:sz w:val="36"/>
          <w:szCs w:val="36"/>
        </w:rPr>
        <w:t>2</w:t>
      </w:r>
    </w:p>
    <w:p w14:paraId="5F0B068A" w14:textId="77777777" w:rsidR="003A1181" w:rsidRDefault="003A1181" w:rsidP="00733626">
      <w:pPr>
        <w:rPr>
          <w:rFonts w:ascii="Arial" w:hAnsi="Arial" w:cs="Arial"/>
          <w:b/>
          <w:bCs/>
          <w:sz w:val="28"/>
          <w:szCs w:val="28"/>
        </w:rPr>
      </w:pPr>
    </w:p>
    <w:p w14:paraId="4506C09D" w14:textId="0E973403" w:rsidR="0044789A" w:rsidRPr="001445C5" w:rsidRDefault="0044789A" w:rsidP="0044789A">
      <w:pPr>
        <w:rPr>
          <w:rFonts w:ascii="Arial" w:hAnsi="Arial" w:cs="Arial"/>
          <w:b/>
          <w:bCs/>
          <w:sz w:val="28"/>
          <w:szCs w:val="28"/>
        </w:rPr>
      </w:pPr>
      <w:r w:rsidRPr="001445C5">
        <w:rPr>
          <w:rFonts w:ascii="Arial" w:hAnsi="Arial" w:cs="Arial"/>
          <w:b/>
          <w:bCs/>
          <w:sz w:val="28"/>
          <w:szCs w:val="28"/>
        </w:rPr>
        <w:t>CIRCULAR INFORMATIVA Nº</w:t>
      </w:r>
      <w:r w:rsidR="008C235A" w:rsidRPr="001445C5">
        <w:rPr>
          <w:rFonts w:ascii="Arial" w:hAnsi="Arial" w:cs="Arial"/>
          <w:b/>
          <w:bCs/>
          <w:sz w:val="28"/>
          <w:szCs w:val="28"/>
        </w:rPr>
        <w:t xml:space="preserve"> </w:t>
      </w:r>
      <w:r w:rsidR="00A552F5" w:rsidRPr="001445C5">
        <w:rPr>
          <w:rFonts w:ascii="Arial" w:hAnsi="Arial" w:cs="Arial"/>
          <w:b/>
          <w:bCs/>
          <w:sz w:val="28"/>
          <w:szCs w:val="28"/>
        </w:rPr>
        <w:t>8</w:t>
      </w:r>
      <w:r w:rsidR="00C57D6C">
        <w:rPr>
          <w:rFonts w:ascii="Arial" w:hAnsi="Arial" w:cs="Arial"/>
          <w:b/>
          <w:bCs/>
          <w:sz w:val="28"/>
          <w:szCs w:val="28"/>
        </w:rPr>
        <w:t>2</w:t>
      </w:r>
    </w:p>
    <w:p w14:paraId="2F1810C4" w14:textId="77777777" w:rsidR="0037388E" w:rsidRPr="001445C5" w:rsidRDefault="0037388E" w:rsidP="00613F73">
      <w:pPr>
        <w:rPr>
          <w:rFonts w:ascii="Arial" w:hAnsi="Arial" w:cs="Arial"/>
          <w:b/>
          <w:sz w:val="28"/>
          <w:szCs w:val="28"/>
          <w:lang w:val="es-AR"/>
        </w:rPr>
      </w:pPr>
    </w:p>
    <w:p w14:paraId="2FF398A8" w14:textId="51235159" w:rsidR="00C57D6C" w:rsidRPr="00C57D6C" w:rsidRDefault="0037388E" w:rsidP="00C57D6C">
      <w:pPr>
        <w:rPr>
          <w:rFonts w:ascii="Arial" w:hAnsi="Arial" w:cs="Arial"/>
          <w:b/>
          <w:lang w:val="es-AR"/>
        </w:rPr>
      </w:pPr>
      <w:r w:rsidRPr="00C57D6C">
        <w:rPr>
          <w:rFonts w:ascii="Arial" w:hAnsi="Arial" w:cs="Arial"/>
          <w:b/>
        </w:rPr>
        <w:t xml:space="preserve">Tema: </w:t>
      </w:r>
      <w:r w:rsidR="002A3763" w:rsidRPr="00C57D6C">
        <w:rPr>
          <w:rFonts w:ascii="Arial" w:hAnsi="Arial" w:cs="Arial"/>
          <w:b/>
        </w:rPr>
        <w:t xml:space="preserve"> </w:t>
      </w:r>
      <w:bookmarkStart w:id="0" w:name="_GoBack"/>
      <w:bookmarkEnd w:id="0"/>
      <w:r w:rsidR="00C57D6C" w:rsidRPr="00C57D6C">
        <w:rPr>
          <w:rFonts w:ascii="Arial" w:hAnsi="Arial" w:cs="Arial"/>
          <w:b/>
          <w:lang w:val="es-AR"/>
        </w:rPr>
        <w:t xml:space="preserve">A.F.I.P.: Reglamentación del beneficio de $ 2.000 de reintegro de aporte jubilatorio por los meses de agosto y septiembre de 2019 </w:t>
      </w:r>
    </w:p>
    <w:p w14:paraId="2F343C19" w14:textId="77777777" w:rsidR="00C57D6C" w:rsidRPr="00C57D6C" w:rsidRDefault="00C57D6C" w:rsidP="00C57D6C">
      <w:pPr>
        <w:rPr>
          <w:rFonts w:ascii="Arial" w:hAnsi="Arial" w:cs="Arial"/>
          <w:b/>
          <w:lang w:val="es-AR"/>
        </w:rPr>
      </w:pPr>
    </w:p>
    <w:p w14:paraId="01F26779" w14:textId="77777777" w:rsidR="00C57D6C" w:rsidRPr="00C57D6C" w:rsidRDefault="00C57D6C" w:rsidP="00C57D6C">
      <w:pPr>
        <w:rPr>
          <w:rFonts w:ascii="Arial" w:hAnsi="Arial" w:cs="Arial"/>
        </w:rPr>
      </w:pPr>
      <w:r w:rsidRPr="00C57D6C">
        <w:rPr>
          <w:rFonts w:ascii="Arial" w:hAnsi="Arial" w:cs="Arial"/>
          <w:lang w:val="es-AR"/>
        </w:rPr>
        <w:t xml:space="preserve">Mediante la Resolución General 4558, publicada en el Boletín Oficial el 26 de agosto, la Administración Federal de Ingresos Públicos reglamenta  aspectos del decreto 561/2019, por el cual es Estado Nacional </w:t>
      </w:r>
      <w:r w:rsidRPr="00C57D6C">
        <w:rPr>
          <w:rFonts w:ascii="Arial" w:hAnsi="Arial" w:cs="Arial"/>
          <w:b/>
          <w:lang w:val="es-AR"/>
        </w:rPr>
        <w:t>financiará</w:t>
      </w:r>
      <w:r w:rsidRPr="00C57D6C">
        <w:rPr>
          <w:rFonts w:ascii="Arial" w:hAnsi="Arial" w:cs="Arial"/>
          <w:lang w:val="es-AR"/>
        </w:rPr>
        <w:t xml:space="preserve"> </w:t>
      </w:r>
      <w:r w:rsidRPr="00C57D6C">
        <w:rPr>
          <w:rFonts w:ascii="Arial" w:hAnsi="Arial" w:cs="Arial"/>
        </w:rPr>
        <w:t xml:space="preserve">una suma equivalente a $ 2.000 mensuales (o al 100% del aporte si fuera menor), para los trabajadores en relación de dependencia cuya remuneración imponible sea inferior o igual a $ 60.000, durante los períodos </w:t>
      </w:r>
      <w:r w:rsidRPr="00C57D6C">
        <w:rPr>
          <w:rFonts w:ascii="Arial" w:hAnsi="Arial" w:cs="Arial"/>
          <w:b/>
        </w:rPr>
        <w:t>devengados agosto y septiembre de 2019</w:t>
      </w:r>
      <w:r w:rsidRPr="00C57D6C">
        <w:rPr>
          <w:rFonts w:ascii="Arial" w:hAnsi="Arial" w:cs="Arial"/>
        </w:rPr>
        <w:t>.</w:t>
      </w:r>
    </w:p>
    <w:p w14:paraId="4B783F02" w14:textId="77777777" w:rsidR="00C57D6C" w:rsidRPr="00C57D6C" w:rsidRDefault="00C57D6C" w:rsidP="00C57D6C">
      <w:pPr>
        <w:rPr>
          <w:rFonts w:ascii="Arial" w:hAnsi="Arial" w:cs="Arial"/>
        </w:rPr>
      </w:pPr>
    </w:p>
    <w:p w14:paraId="5F161674" w14:textId="77777777" w:rsidR="00C57D6C" w:rsidRPr="00C57D6C" w:rsidRDefault="00C57D6C" w:rsidP="00C57D6C">
      <w:pPr>
        <w:rPr>
          <w:rFonts w:ascii="Arial" w:hAnsi="Arial" w:cs="Arial"/>
        </w:rPr>
      </w:pPr>
      <w:r w:rsidRPr="00C57D6C">
        <w:rPr>
          <w:rFonts w:ascii="Arial" w:hAnsi="Arial" w:cs="Arial"/>
        </w:rPr>
        <w:t>Para los contratos a tiempo parcial, el importe de $ 2.000 consignado en el párrafo anterior se proporcionará al tiempo trabajado considerando la jornada habitual de la actividad. También deberá efectuarse la proporción que corresponda, en aquellos casos en que, por cualquier motivo, el tiempo trabajado involucre una fracción inferior al mes.</w:t>
      </w:r>
    </w:p>
    <w:p w14:paraId="6D68521B" w14:textId="77777777" w:rsidR="00C57D6C" w:rsidRPr="00C57D6C" w:rsidRDefault="00C57D6C" w:rsidP="00C57D6C">
      <w:pPr>
        <w:rPr>
          <w:rFonts w:ascii="Arial" w:hAnsi="Arial" w:cs="Arial"/>
        </w:rPr>
      </w:pPr>
    </w:p>
    <w:p w14:paraId="5622BA36" w14:textId="77777777" w:rsidR="00C57D6C" w:rsidRPr="00C57D6C" w:rsidRDefault="00C57D6C" w:rsidP="00C57D6C">
      <w:pPr>
        <w:rPr>
          <w:rFonts w:ascii="Arial" w:hAnsi="Arial" w:cs="Arial"/>
        </w:rPr>
      </w:pPr>
      <w:r w:rsidRPr="00C57D6C">
        <w:rPr>
          <w:rFonts w:ascii="Arial" w:hAnsi="Arial" w:cs="Arial"/>
        </w:rPr>
        <w:t xml:space="preserve">La resolución crea un nuevo campo en el sistema </w:t>
      </w:r>
      <w:r w:rsidRPr="00C57D6C">
        <w:rPr>
          <w:rFonts w:ascii="Arial" w:hAnsi="Arial" w:cs="Arial"/>
          <w:b/>
        </w:rPr>
        <w:t>“Declaración en Línea”</w:t>
      </w:r>
      <w:r w:rsidRPr="00C57D6C">
        <w:rPr>
          <w:rFonts w:ascii="Arial" w:hAnsi="Arial" w:cs="Arial"/>
        </w:rPr>
        <w:t xml:space="preserve"> denominado </w:t>
      </w:r>
      <w:r w:rsidRPr="00C57D6C">
        <w:rPr>
          <w:rFonts w:ascii="Arial" w:hAnsi="Arial" w:cs="Arial"/>
          <w:b/>
          <w:i/>
        </w:rPr>
        <w:t xml:space="preserve">“Ajuste Aporte Decreto 561/2019”, </w:t>
      </w:r>
      <w:r w:rsidRPr="00C57D6C">
        <w:rPr>
          <w:rFonts w:ascii="Arial" w:hAnsi="Arial" w:cs="Arial"/>
        </w:rPr>
        <w:t xml:space="preserve">en el que se consignará el </w:t>
      </w:r>
      <w:r w:rsidRPr="00C57D6C">
        <w:rPr>
          <w:rFonts w:ascii="Arial" w:hAnsi="Arial" w:cs="Arial"/>
          <w:b/>
          <w:i/>
        </w:rPr>
        <w:t>aporte personal a reintegrar</w:t>
      </w:r>
      <w:r w:rsidRPr="00C57D6C">
        <w:rPr>
          <w:rFonts w:ascii="Arial" w:hAnsi="Arial" w:cs="Arial"/>
        </w:rPr>
        <w:t xml:space="preserve">. Como vemos el aporte personal del trabajador no se altera, siendo el mismo  financiado por  el Estado Nacional en los importes referidos en el primer párrafo de este trabajo por cada uno de los meses señalados. </w:t>
      </w:r>
    </w:p>
    <w:p w14:paraId="0D4E92BF" w14:textId="77777777" w:rsidR="00C57D6C" w:rsidRPr="00C57D6C" w:rsidRDefault="00C57D6C" w:rsidP="00C57D6C">
      <w:pPr>
        <w:rPr>
          <w:rFonts w:ascii="Arial" w:hAnsi="Arial" w:cs="Arial"/>
        </w:rPr>
      </w:pPr>
    </w:p>
    <w:p w14:paraId="1A6056CC" w14:textId="77777777" w:rsidR="00C57D6C" w:rsidRPr="00C57D6C" w:rsidRDefault="00C57D6C" w:rsidP="00C57D6C">
      <w:pPr>
        <w:rPr>
          <w:rFonts w:ascii="Arial" w:hAnsi="Arial" w:cs="Arial"/>
        </w:rPr>
      </w:pPr>
      <w:r w:rsidRPr="00C57D6C">
        <w:rPr>
          <w:rFonts w:ascii="Arial" w:hAnsi="Arial" w:cs="Arial"/>
        </w:rPr>
        <w:t xml:space="preserve">La resolución no contiene mayores precisiones acerca del campo </w:t>
      </w:r>
      <w:r w:rsidRPr="00C57D6C">
        <w:rPr>
          <w:rFonts w:ascii="Arial" w:hAnsi="Arial" w:cs="Arial"/>
          <w:b/>
          <w:i/>
        </w:rPr>
        <w:t>“Ajuste Aporte Decreto 561/2019”</w:t>
      </w:r>
      <w:r w:rsidRPr="00C57D6C">
        <w:rPr>
          <w:rFonts w:ascii="Arial" w:hAnsi="Arial" w:cs="Arial"/>
        </w:rPr>
        <w:t>, por lo que habrá que esperar a que esté disponible en el sistema “Declaración en Línea” o que se publique el nuevo Release 7 de la versión 41 del aplicativo SICOSS para ver donde encontramos el mismo, así como ver si en el el instructivo habilitado en el micrositio “web” institucional “Libro de Sueldos Digital”, cuando esté disponible,  la parametrización de los conceptos de liquidación involucrados, en este último caso también para analizar la forma de exteriorizarlo en el recibo de sueldo, donde a nuestro entender debe consignarse en forma separada como devolución (parcial o tatal) de la retención  del 11 % del  aporte personal del trabajador en relación de dependencia.</w:t>
      </w:r>
    </w:p>
    <w:p w14:paraId="7CEE866E" w14:textId="77777777" w:rsidR="00C57D6C" w:rsidRPr="00C57D6C" w:rsidRDefault="00C57D6C" w:rsidP="00C57D6C">
      <w:pPr>
        <w:rPr>
          <w:rFonts w:ascii="Arial" w:hAnsi="Arial" w:cs="Arial"/>
        </w:rPr>
      </w:pPr>
    </w:p>
    <w:p w14:paraId="65A81E3F" w14:textId="77777777" w:rsidR="00C57D6C" w:rsidRPr="00C57D6C" w:rsidRDefault="00C57D6C" w:rsidP="00C57D6C">
      <w:pPr>
        <w:rPr>
          <w:rFonts w:ascii="Arial" w:hAnsi="Arial" w:cs="Arial"/>
          <w:b/>
        </w:rPr>
      </w:pPr>
      <w:r w:rsidRPr="00C57D6C">
        <w:rPr>
          <w:rFonts w:ascii="Arial" w:hAnsi="Arial" w:cs="Arial"/>
        </w:rPr>
        <w:t xml:space="preserve">Cuando </w:t>
      </w:r>
      <w:r w:rsidRPr="00C57D6C">
        <w:rPr>
          <w:rFonts w:ascii="Arial" w:hAnsi="Arial" w:cs="Arial"/>
          <w:b/>
        </w:rPr>
        <w:t>el trabajador tenga más de un empleador</w:t>
      </w:r>
      <w:r w:rsidRPr="00C57D6C">
        <w:rPr>
          <w:rFonts w:ascii="Arial" w:hAnsi="Arial" w:cs="Arial"/>
        </w:rPr>
        <w:t xml:space="preserve">, y siempre que por esos servicios la sumatoria de las remuneraciones imponibles no supere los $ 60.000, </w:t>
      </w:r>
      <w:r w:rsidRPr="00C57D6C">
        <w:rPr>
          <w:rFonts w:ascii="Arial" w:hAnsi="Arial" w:cs="Arial"/>
          <w:b/>
        </w:rPr>
        <w:t>el trabajador deberá informar -mediante nota- a cada uno de los empleadores</w:t>
      </w:r>
      <w:r w:rsidRPr="00C57D6C">
        <w:rPr>
          <w:rFonts w:ascii="Arial" w:hAnsi="Arial" w:cs="Arial"/>
        </w:rPr>
        <w:t xml:space="preserve"> la porción del beneficio que corresponde aplicar en función a su remuneración imponible, a fin de que dicho beneficio no supere el tope de $ 2.000.</w:t>
      </w:r>
    </w:p>
    <w:p w14:paraId="7D9D537D" w14:textId="77777777" w:rsidR="00C57D6C" w:rsidRPr="00C57D6C" w:rsidRDefault="00C57D6C" w:rsidP="00C57D6C">
      <w:pPr>
        <w:rPr>
          <w:rFonts w:ascii="Arial" w:hAnsi="Arial" w:cs="Arial"/>
          <w:lang w:val="es-AR"/>
        </w:rPr>
      </w:pPr>
    </w:p>
    <w:p w14:paraId="66FCB5E9" w14:textId="43F9D63D" w:rsidR="002A3763" w:rsidRPr="00C57D6C" w:rsidRDefault="002A3763" w:rsidP="00C57D6C">
      <w:pPr>
        <w:rPr>
          <w:rFonts w:ascii="Arial" w:hAnsi="Arial" w:cs="Arial"/>
        </w:rPr>
      </w:pPr>
    </w:p>
    <w:p w14:paraId="7FCF72C3" w14:textId="5C5AB077" w:rsidR="009A3009" w:rsidRPr="00C57D6C" w:rsidRDefault="009A3009" w:rsidP="002A3763">
      <w:pPr>
        <w:rPr>
          <w:rFonts w:ascii="Arial" w:hAnsi="Arial" w:cs="Arial"/>
          <w:b/>
        </w:rPr>
      </w:pPr>
    </w:p>
    <w:sectPr w:rsidR="009A3009" w:rsidRPr="00C57D6C" w:rsidSect="00B91300">
      <w:headerReference w:type="default" r:id="rId7"/>
      <w:pgSz w:w="11907" w:h="16840" w:code="9"/>
      <w:pgMar w:top="2268" w:right="1134" w:bottom="851" w:left="2268" w:header="709" w:footer="709" w:gutter="0"/>
      <w:paperSrc w:first="1" w:other="1"/>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C9DFA" w14:textId="77777777" w:rsidR="000902D3" w:rsidRDefault="000902D3" w:rsidP="007C7168">
      <w:r>
        <w:separator/>
      </w:r>
    </w:p>
  </w:endnote>
  <w:endnote w:type="continuationSeparator" w:id="0">
    <w:p w14:paraId="71B2A89F" w14:textId="77777777" w:rsidR="000902D3" w:rsidRDefault="000902D3" w:rsidP="007C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Arial"/>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08AFF" w14:textId="77777777" w:rsidR="000902D3" w:rsidRDefault="000902D3" w:rsidP="007C7168">
      <w:r>
        <w:separator/>
      </w:r>
    </w:p>
  </w:footnote>
  <w:footnote w:type="continuationSeparator" w:id="0">
    <w:p w14:paraId="11CFC59C" w14:textId="77777777" w:rsidR="000902D3" w:rsidRDefault="000902D3" w:rsidP="007C7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67612" w14:textId="77777777" w:rsidR="00BA3C10" w:rsidRPr="007C7168" w:rsidRDefault="00053596" w:rsidP="007C7168">
    <w:pPr>
      <w:pStyle w:val="Encabezado"/>
    </w:pPr>
    <w:r>
      <w:rPr>
        <w:noProof/>
        <w:lang w:val="es-AR"/>
      </w:rPr>
      <w:drawing>
        <wp:inline distT="0" distB="0" distL="0" distR="0" wp14:anchorId="3774E0FE" wp14:editId="19E8330A">
          <wp:extent cx="2414016" cy="8534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ADEEAC 2012 -sin blancos.JPG"/>
                  <pic:cNvPicPr/>
                </pic:nvPicPr>
                <pic:blipFill>
                  <a:blip r:embed="rId1"/>
                  <a:stretch>
                    <a:fillRect/>
                  </a:stretch>
                </pic:blipFill>
                <pic:spPr>
                  <a:xfrm>
                    <a:off x="0" y="0"/>
                    <a:ext cx="2414016" cy="853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7C3"/>
    <w:multiLevelType w:val="hybridMultilevel"/>
    <w:tmpl w:val="A88ED6D0"/>
    <w:lvl w:ilvl="0" w:tplc="1F3A42E6">
      <w:numFmt w:val="bullet"/>
      <w:lvlText w:val="-"/>
      <w:lvlJc w:val="left"/>
      <w:pPr>
        <w:ind w:left="720" w:hanging="360"/>
      </w:pPr>
      <w:rPr>
        <w:rFonts w:ascii="Century Gothic" w:eastAsia="Times New Roman" w:hAnsi="Century Gothic"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2F9461B"/>
    <w:multiLevelType w:val="hybridMultilevel"/>
    <w:tmpl w:val="B1D6DA3A"/>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 w15:restartNumberingAfterBreak="0">
    <w:nsid w:val="05FE0371"/>
    <w:multiLevelType w:val="hybridMultilevel"/>
    <w:tmpl w:val="7CA65E9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 w15:restartNumberingAfterBreak="0">
    <w:nsid w:val="0BF13E6A"/>
    <w:multiLevelType w:val="hybridMultilevel"/>
    <w:tmpl w:val="0224702A"/>
    <w:lvl w:ilvl="0" w:tplc="E9DA0F80">
      <w:start w:val="1"/>
      <w:numFmt w:val="lowerLetter"/>
      <w:lvlText w:val="%1)"/>
      <w:lvlJc w:val="left"/>
      <w:pPr>
        <w:ind w:left="1080" w:hanging="360"/>
      </w:pPr>
      <w:rPr>
        <w:rFonts w:cs="Times New Roman" w:hint="default"/>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4" w15:restartNumberingAfterBreak="0">
    <w:nsid w:val="0BFF5AEC"/>
    <w:multiLevelType w:val="hybridMultilevel"/>
    <w:tmpl w:val="166C8C7C"/>
    <w:lvl w:ilvl="0" w:tplc="2C0A000F">
      <w:start w:val="1"/>
      <w:numFmt w:val="decimal"/>
      <w:lvlText w:val="%1."/>
      <w:lvlJc w:val="left"/>
      <w:pPr>
        <w:ind w:left="720" w:hanging="360"/>
      </w:pPr>
      <w:rPr>
        <w:rFonts w:cs="Times New Roman"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0E5A3E3D"/>
    <w:multiLevelType w:val="multilevel"/>
    <w:tmpl w:val="F482C9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BD0D20"/>
    <w:multiLevelType w:val="hybridMultilevel"/>
    <w:tmpl w:val="851274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1149481C"/>
    <w:multiLevelType w:val="hybridMultilevel"/>
    <w:tmpl w:val="2E7A439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F20122"/>
    <w:multiLevelType w:val="multilevel"/>
    <w:tmpl w:val="46604C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5250FF"/>
    <w:multiLevelType w:val="multilevel"/>
    <w:tmpl w:val="308E3E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72F2095"/>
    <w:multiLevelType w:val="hybridMultilevel"/>
    <w:tmpl w:val="3856BB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1A252FC1"/>
    <w:multiLevelType w:val="hybridMultilevel"/>
    <w:tmpl w:val="809ECA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1B7107A7"/>
    <w:multiLevelType w:val="hybridMultilevel"/>
    <w:tmpl w:val="234094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2D8762F8"/>
    <w:multiLevelType w:val="hybridMultilevel"/>
    <w:tmpl w:val="0DD4E294"/>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1E7CBC"/>
    <w:multiLevelType w:val="hybridMultilevel"/>
    <w:tmpl w:val="2D28B7F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2FE22F06"/>
    <w:multiLevelType w:val="hybridMultilevel"/>
    <w:tmpl w:val="5D0E6C26"/>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6" w15:restartNumberingAfterBreak="0">
    <w:nsid w:val="37BF59C0"/>
    <w:multiLevelType w:val="hybridMultilevel"/>
    <w:tmpl w:val="B7D4EAAC"/>
    <w:lvl w:ilvl="0" w:tplc="1660C720">
      <w:start w:val="1"/>
      <w:numFmt w:val="decimal"/>
      <w:lvlText w:val="%1."/>
      <w:lvlJc w:val="left"/>
      <w:pPr>
        <w:ind w:left="1680" w:hanging="600"/>
      </w:pPr>
      <w:rPr>
        <w:rFonts w:cs="Times New Roman" w:hint="default"/>
      </w:rPr>
    </w:lvl>
    <w:lvl w:ilvl="1" w:tplc="2C0A0019" w:tentative="1">
      <w:start w:val="1"/>
      <w:numFmt w:val="lowerLetter"/>
      <w:lvlText w:val="%2."/>
      <w:lvlJc w:val="left"/>
      <w:pPr>
        <w:ind w:left="2160" w:hanging="360"/>
      </w:pPr>
      <w:rPr>
        <w:rFonts w:cs="Times New Roman"/>
      </w:rPr>
    </w:lvl>
    <w:lvl w:ilvl="2" w:tplc="2C0A001B" w:tentative="1">
      <w:start w:val="1"/>
      <w:numFmt w:val="lowerRoman"/>
      <w:lvlText w:val="%3."/>
      <w:lvlJc w:val="right"/>
      <w:pPr>
        <w:ind w:left="2880" w:hanging="180"/>
      </w:pPr>
      <w:rPr>
        <w:rFonts w:cs="Times New Roman"/>
      </w:rPr>
    </w:lvl>
    <w:lvl w:ilvl="3" w:tplc="2C0A000F" w:tentative="1">
      <w:start w:val="1"/>
      <w:numFmt w:val="decimal"/>
      <w:lvlText w:val="%4."/>
      <w:lvlJc w:val="left"/>
      <w:pPr>
        <w:ind w:left="3600" w:hanging="360"/>
      </w:pPr>
      <w:rPr>
        <w:rFonts w:cs="Times New Roman"/>
      </w:rPr>
    </w:lvl>
    <w:lvl w:ilvl="4" w:tplc="2C0A0019" w:tentative="1">
      <w:start w:val="1"/>
      <w:numFmt w:val="lowerLetter"/>
      <w:lvlText w:val="%5."/>
      <w:lvlJc w:val="left"/>
      <w:pPr>
        <w:ind w:left="4320" w:hanging="360"/>
      </w:pPr>
      <w:rPr>
        <w:rFonts w:cs="Times New Roman"/>
      </w:rPr>
    </w:lvl>
    <w:lvl w:ilvl="5" w:tplc="2C0A001B" w:tentative="1">
      <w:start w:val="1"/>
      <w:numFmt w:val="lowerRoman"/>
      <w:lvlText w:val="%6."/>
      <w:lvlJc w:val="right"/>
      <w:pPr>
        <w:ind w:left="5040" w:hanging="180"/>
      </w:pPr>
      <w:rPr>
        <w:rFonts w:cs="Times New Roman"/>
      </w:rPr>
    </w:lvl>
    <w:lvl w:ilvl="6" w:tplc="2C0A000F" w:tentative="1">
      <w:start w:val="1"/>
      <w:numFmt w:val="decimal"/>
      <w:lvlText w:val="%7."/>
      <w:lvlJc w:val="left"/>
      <w:pPr>
        <w:ind w:left="5760" w:hanging="360"/>
      </w:pPr>
      <w:rPr>
        <w:rFonts w:cs="Times New Roman"/>
      </w:rPr>
    </w:lvl>
    <w:lvl w:ilvl="7" w:tplc="2C0A0019" w:tentative="1">
      <w:start w:val="1"/>
      <w:numFmt w:val="lowerLetter"/>
      <w:lvlText w:val="%8."/>
      <w:lvlJc w:val="left"/>
      <w:pPr>
        <w:ind w:left="6480" w:hanging="360"/>
      </w:pPr>
      <w:rPr>
        <w:rFonts w:cs="Times New Roman"/>
      </w:rPr>
    </w:lvl>
    <w:lvl w:ilvl="8" w:tplc="2C0A001B" w:tentative="1">
      <w:start w:val="1"/>
      <w:numFmt w:val="lowerRoman"/>
      <w:lvlText w:val="%9."/>
      <w:lvlJc w:val="right"/>
      <w:pPr>
        <w:ind w:left="7200" w:hanging="180"/>
      </w:pPr>
      <w:rPr>
        <w:rFonts w:cs="Times New Roman"/>
      </w:rPr>
    </w:lvl>
  </w:abstractNum>
  <w:abstractNum w:abstractNumId="17" w15:restartNumberingAfterBreak="0">
    <w:nsid w:val="390C352F"/>
    <w:multiLevelType w:val="multilevel"/>
    <w:tmpl w:val="2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48AF3509"/>
    <w:multiLevelType w:val="hybridMultilevel"/>
    <w:tmpl w:val="95E87E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4B6E0FC5"/>
    <w:multiLevelType w:val="hybridMultilevel"/>
    <w:tmpl w:val="7A8A9026"/>
    <w:lvl w:ilvl="0" w:tplc="0C0A0017">
      <w:start w:val="1"/>
      <w:numFmt w:val="lowerLetter"/>
      <w:lvlText w:val="%1)"/>
      <w:lvlJc w:val="left"/>
      <w:pPr>
        <w:tabs>
          <w:tab w:val="num" w:pos="1776"/>
        </w:tabs>
        <w:ind w:left="1776" w:hanging="360"/>
      </w:pPr>
      <w:rPr>
        <w:sz w:val="22"/>
        <w:szCs w:val="22"/>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15:restartNumberingAfterBreak="0">
    <w:nsid w:val="50452165"/>
    <w:multiLevelType w:val="multilevel"/>
    <w:tmpl w:val="8C2628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5D41E8"/>
    <w:multiLevelType w:val="multilevel"/>
    <w:tmpl w:val="22B866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6146CD"/>
    <w:multiLevelType w:val="hybridMultilevel"/>
    <w:tmpl w:val="BC244BF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5DBA0288"/>
    <w:multiLevelType w:val="hybridMultilevel"/>
    <w:tmpl w:val="B86A2A4E"/>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D907A1"/>
    <w:multiLevelType w:val="multilevel"/>
    <w:tmpl w:val="04C2C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3D5A3C"/>
    <w:multiLevelType w:val="hybridMultilevel"/>
    <w:tmpl w:val="30BC0136"/>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6" w15:restartNumberingAfterBreak="0">
    <w:nsid w:val="64FF4406"/>
    <w:multiLevelType w:val="hybridMultilevel"/>
    <w:tmpl w:val="D0C6D0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6DE5424A"/>
    <w:multiLevelType w:val="hybridMultilevel"/>
    <w:tmpl w:val="0E2AAB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71D127E5"/>
    <w:multiLevelType w:val="multilevel"/>
    <w:tmpl w:val="88B2BE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4C308B"/>
    <w:multiLevelType w:val="hybridMultilevel"/>
    <w:tmpl w:val="414A2E2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77500B62"/>
    <w:multiLevelType w:val="hybridMultilevel"/>
    <w:tmpl w:val="CBD0774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7BF075E0"/>
    <w:multiLevelType w:val="hybridMultilevel"/>
    <w:tmpl w:val="84123F32"/>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2" w15:restartNumberingAfterBreak="0">
    <w:nsid w:val="7DF61395"/>
    <w:multiLevelType w:val="hybridMultilevel"/>
    <w:tmpl w:val="12ACA1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3"/>
  </w:num>
  <w:num w:numId="4">
    <w:abstractNumId w:val="13"/>
  </w:num>
  <w:num w:numId="5">
    <w:abstractNumId w:val="6"/>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4"/>
  </w:num>
  <w:num w:numId="10">
    <w:abstractNumId w:val="2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8"/>
  </w:num>
  <w:num w:numId="14">
    <w:abstractNumId w:val="8"/>
  </w:num>
  <w:num w:numId="15">
    <w:abstractNumId w:val="5"/>
  </w:num>
  <w:num w:numId="16">
    <w:abstractNumId w:val="21"/>
  </w:num>
  <w:num w:numId="17">
    <w:abstractNumId w:val="7"/>
  </w:num>
  <w:num w:numId="18">
    <w:abstractNumId w:val="31"/>
  </w:num>
  <w:num w:numId="19">
    <w:abstractNumId w:val="1"/>
  </w:num>
  <w:num w:numId="20">
    <w:abstractNumId w:val="10"/>
  </w:num>
  <w:num w:numId="21">
    <w:abstractNumId w:val="27"/>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9"/>
  </w:num>
  <w:num w:numId="25">
    <w:abstractNumId w:val="4"/>
  </w:num>
  <w:num w:numId="26">
    <w:abstractNumId w:val="17"/>
  </w:num>
  <w:num w:numId="27">
    <w:abstractNumId w:val="12"/>
  </w:num>
  <w:num w:numId="28">
    <w:abstractNumId w:val="14"/>
  </w:num>
  <w:num w:numId="29">
    <w:abstractNumId w:val="22"/>
  </w:num>
  <w:num w:numId="30">
    <w:abstractNumId w:val="11"/>
  </w:num>
  <w:num w:numId="31">
    <w:abstractNumId w:val="30"/>
  </w:num>
  <w:num w:numId="32">
    <w:abstractNumId w:val="1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56"/>
    <w:rsid w:val="000009AA"/>
    <w:rsid w:val="00001756"/>
    <w:rsid w:val="000139F8"/>
    <w:rsid w:val="00015FBB"/>
    <w:rsid w:val="00053596"/>
    <w:rsid w:val="000549C7"/>
    <w:rsid w:val="00056B7D"/>
    <w:rsid w:val="000721BC"/>
    <w:rsid w:val="00084810"/>
    <w:rsid w:val="000902D3"/>
    <w:rsid w:val="000A037A"/>
    <w:rsid w:val="000A3628"/>
    <w:rsid w:val="000B16AA"/>
    <w:rsid w:val="000D3C38"/>
    <w:rsid w:val="00103D11"/>
    <w:rsid w:val="001051DB"/>
    <w:rsid w:val="001110B3"/>
    <w:rsid w:val="001445C5"/>
    <w:rsid w:val="00145971"/>
    <w:rsid w:val="00145C92"/>
    <w:rsid w:val="001501DA"/>
    <w:rsid w:val="00151704"/>
    <w:rsid w:val="001615CE"/>
    <w:rsid w:val="00172641"/>
    <w:rsid w:val="0018420F"/>
    <w:rsid w:val="00194AEE"/>
    <w:rsid w:val="001B04A6"/>
    <w:rsid w:val="001F2147"/>
    <w:rsid w:val="001F255C"/>
    <w:rsid w:val="00214259"/>
    <w:rsid w:val="0021483A"/>
    <w:rsid w:val="00217765"/>
    <w:rsid w:val="002230A0"/>
    <w:rsid w:val="00242958"/>
    <w:rsid w:val="00246E3C"/>
    <w:rsid w:val="00285BAA"/>
    <w:rsid w:val="00297F23"/>
    <w:rsid w:val="002A3763"/>
    <w:rsid w:val="002A654F"/>
    <w:rsid w:val="002A7D7B"/>
    <w:rsid w:val="002C3828"/>
    <w:rsid w:val="002E0225"/>
    <w:rsid w:val="002F1399"/>
    <w:rsid w:val="003243E1"/>
    <w:rsid w:val="00342069"/>
    <w:rsid w:val="00357D18"/>
    <w:rsid w:val="003606A1"/>
    <w:rsid w:val="00363325"/>
    <w:rsid w:val="003637D0"/>
    <w:rsid w:val="00372901"/>
    <w:rsid w:val="0037388E"/>
    <w:rsid w:val="003929A9"/>
    <w:rsid w:val="003A07E6"/>
    <w:rsid w:val="003A115E"/>
    <w:rsid w:val="003A1181"/>
    <w:rsid w:val="003B62E5"/>
    <w:rsid w:val="003D2043"/>
    <w:rsid w:val="003E11D4"/>
    <w:rsid w:val="003E2B6B"/>
    <w:rsid w:val="003F3D80"/>
    <w:rsid w:val="0040035C"/>
    <w:rsid w:val="00402661"/>
    <w:rsid w:val="00425D54"/>
    <w:rsid w:val="00425FF7"/>
    <w:rsid w:val="00430745"/>
    <w:rsid w:val="0044789A"/>
    <w:rsid w:val="00463C6C"/>
    <w:rsid w:val="004811C1"/>
    <w:rsid w:val="0048594D"/>
    <w:rsid w:val="00491C63"/>
    <w:rsid w:val="004A6B4B"/>
    <w:rsid w:val="00514CCE"/>
    <w:rsid w:val="00525985"/>
    <w:rsid w:val="0053655F"/>
    <w:rsid w:val="00537A80"/>
    <w:rsid w:val="00543CF6"/>
    <w:rsid w:val="00547178"/>
    <w:rsid w:val="005606E2"/>
    <w:rsid w:val="00580660"/>
    <w:rsid w:val="005843C2"/>
    <w:rsid w:val="0058636D"/>
    <w:rsid w:val="00591F7A"/>
    <w:rsid w:val="00592C0B"/>
    <w:rsid w:val="005C5498"/>
    <w:rsid w:val="005E111D"/>
    <w:rsid w:val="00606B7E"/>
    <w:rsid w:val="00613F73"/>
    <w:rsid w:val="0061400B"/>
    <w:rsid w:val="00620472"/>
    <w:rsid w:val="00632FB4"/>
    <w:rsid w:val="00653661"/>
    <w:rsid w:val="00657964"/>
    <w:rsid w:val="00682765"/>
    <w:rsid w:val="00690C2D"/>
    <w:rsid w:val="00690DF7"/>
    <w:rsid w:val="006959EC"/>
    <w:rsid w:val="0069737F"/>
    <w:rsid w:val="006C1256"/>
    <w:rsid w:val="006D5FA4"/>
    <w:rsid w:val="006D7B9C"/>
    <w:rsid w:val="006E1AA8"/>
    <w:rsid w:val="006F0E32"/>
    <w:rsid w:val="0070499C"/>
    <w:rsid w:val="0071270A"/>
    <w:rsid w:val="007161A5"/>
    <w:rsid w:val="00716D5A"/>
    <w:rsid w:val="00733626"/>
    <w:rsid w:val="0076642C"/>
    <w:rsid w:val="00776BB2"/>
    <w:rsid w:val="00782225"/>
    <w:rsid w:val="007A6359"/>
    <w:rsid w:val="007C7168"/>
    <w:rsid w:val="007D3E0B"/>
    <w:rsid w:val="007E7821"/>
    <w:rsid w:val="007F0A45"/>
    <w:rsid w:val="007F6012"/>
    <w:rsid w:val="00800904"/>
    <w:rsid w:val="008109FA"/>
    <w:rsid w:val="00822470"/>
    <w:rsid w:val="008300B5"/>
    <w:rsid w:val="0083335D"/>
    <w:rsid w:val="00834D33"/>
    <w:rsid w:val="0084114F"/>
    <w:rsid w:val="008418D3"/>
    <w:rsid w:val="0086330F"/>
    <w:rsid w:val="00871C1E"/>
    <w:rsid w:val="00877957"/>
    <w:rsid w:val="00882272"/>
    <w:rsid w:val="00897A05"/>
    <w:rsid w:val="008A0F91"/>
    <w:rsid w:val="008A51DC"/>
    <w:rsid w:val="008C235A"/>
    <w:rsid w:val="008C3CA9"/>
    <w:rsid w:val="008D0F75"/>
    <w:rsid w:val="008E4875"/>
    <w:rsid w:val="008F0A1B"/>
    <w:rsid w:val="00901959"/>
    <w:rsid w:val="0091582E"/>
    <w:rsid w:val="00936424"/>
    <w:rsid w:val="0094765A"/>
    <w:rsid w:val="00966E72"/>
    <w:rsid w:val="009810C5"/>
    <w:rsid w:val="009832BC"/>
    <w:rsid w:val="00987644"/>
    <w:rsid w:val="00991E2F"/>
    <w:rsid w:val="009A3009"/>
    <w:rsid w:val="009C0B71"/>
    <w:rsid w:val="009D7C7C"/>
    <w:rsid w:val="009E458A"/>
    <w:rsid w:val="009E5FFB"/>
    <w:rsid w:val="00A011A0"/>
    <w:rsid w:val="00A2079F"/>
    <w:rsid w:val="00A33A9F"/>
    <w:rsid w:val="00A36B0F"/>
    <w:rsid w:val="00A552F5"/>
    <w:rsid w:val="00A55517"/>
    <w:rsid w:val="00A676C5"/>
    <w:rsid w:val="00A85720"/>
    <w:rsid w:val="00A8606E"/>
    <w:rsid w:val="00A91946"/>
    <w:rsid w:val="00A9675F"/>
    <w:rsid w:val="00AA5E33"/>
    <w:rsid w:val="00AB4127"/>
    <w:rsid w:val="00AB574D"/>
    <w:rsid w:val="00AD5ED5"/>
    <w:rsid w:val="00AD7AD6"/>
    <w:rsid w:val="00AE0ACE"/>
    <w:rsid w:val="00AE1013"/>
    <w:rsid w:val="00AE5D6A"/>
    <w:rsid w:val="00B05C4D"/>
    <w:rsid w:val="00B24619"/>
    <w:rsid w:val="00B50F34"/>
    <w:rsid w:val="00B548A7"/>
    <w:rsid w:val="00B91300"/>
    <w:rsid w:val="00B9296B"/>
    <w:rsid w:val="00B973C9"/>
    <w:rsid w:val="00BA3C10"/>
    <w:rsid w:val="00BC207E"/>
    <w:rsid w:val="00BE1F1B"/>
    <w:rsid w:val="00BF4047"/>
    <w:rsid w:val="00C00DBC"/>
    <w:rsid w:val="00C01294"/>
    <w:rsid w:val="00C0365F"/>
    <w:rsid w:val="00C33033"/>
    <w:rsid w:val="00C47642"/>
    <w:rsid w:val="00C57D6C"/>
    <w:rsid w:val="00C6083B"/>
    <w:rsid w:val="00C64AA0"/>
    <w:rsid w:val="00C81166"/>
    <w:rsid w:val="00C86033"/>
    <w:rsid w:val="00CA7FFD"/>
    <w:rsid w:val="00CB195B"/>
    <w:rsid w:val="00CC201C"/>
    <w:rsid w:val="00CD21F8"/>
    <w:rsid w:val="00CD41C0"/>
    <w:rsid w:val="00CF29B6"/>
    <w:rsid w:val="00D012E1"/>
    <w:rsid w:val="00D22348"/>
    <w:rsid w:val="00D37E34"/>
    <w:rsid w:val="00D467CE"/>
    <w:rsid w:val="00D650F0"/>
    <w:rsid w:val="00D73962"/>
    <w:rsid w:val="00D77CDD"/>
    <w:rsid w:val="00D94573"/>
    <w:rsid w:val="00D94B6C"/>
    <w:rsid w:val="00DA0CFB"/>
    <w:rsid w:val="00DB1CF7"/>
    <w:rsid w:val="00DB540A"/>
    <w:rsid w:val="00DD4C24"/>
    <w:rsid w:val="00DF0AC0"/>
    <w:rsid w:val="00DF2A4F"/>
    <w:rsid w:val="00DF6814"/>
    <w:rsid w:val="00E10479"/>
    <w:rsid w:val="00E14174"/>
    <w:rsid w:val="00E2396E"/>
    <w:rsid w:val="00E4242F"/>
    <w:rsid w:val="00E5130F"/>
    <w:rsid w:val="00E5626B"/>
    <w:rsid w:val="00E60287"/>
    <w:rsid w:val="00E700AC"/>
    <w:rsid w:val="00EC046E"/>
    <w:rsid w:val="00EF766D"/>
    <w:rsid w:val="00EF776A"/>
    <w:rsid w:val="00EF7BFD"/>
    <w:rsid w:val="00F01D15"/>
    <w:rsid w:val="00F0498E"/>
    <w:rsid w:val="00F37491"/>
    <w:rsid w:val="00F46141"/>
    <w:rsid w:val="00F52CAA"/>
    <w:rsid w:val="00F75F74"/>
    <w:rsid w:val="00F807C6"/>
    <w:rsid w:val="00F81D02"/>
    <w:rsid w:val="00F84809"/>
    <w:rsid w:val="00FB04E2"/>
    <w:rsid w:val="00FB2D40"/>
    <w:rsid w:val="00FB660F"/>
    <w:rsid w:val="00FD1175"/>
    <w:rsid w:val="00FE23F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D9C051"/>
  <w15:docId w15:val="{FF7C3824-4CD9-4D39-8C83-4F1ED532D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013"/>
    <w:pPr>
      <w:widowControl w:val="0"/>
      <w:autoSpaceDE w:val="0"/>
      <w:autoSpaceDN w:val="0"/>
      <w:spacing w:after="0" w:line="240" w:lineRule="auto"/>
      <w:jc w:val="both"/>
    </w:pPr>
    <w:rPr>
      <w:rFonts w:ascii="Century Gothic" w:hAnsi="Century Gothic" w:cs="Century Gothic"/>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rcularTema">
    <w:name w:val="CircularTema"/>
    <w:basedOn w:val="Normal"/>
    <w:uiPriority w:val="99"/>
    <w:rsid w:val="00AE1013"/>
    <w:pPr>
      <w:jc w:val="center"/>
    </w:pPr>
    <w:rPr>
      <w:u w:val="single"/>
    </w:rPr>
  </w:style>
  <w:style w:type="paragraph" w:customStyle="1" w:styleId="CircularTexto">
    <w:name w:val="CircularTexto"/>
    <w:basedOn w:val="Normal"/>
    <w:uiPriority w:val="99"/>
    <w:rsid w:val="00AE1013"/>
  </w:style>
  <w:style w:type="paragraph" w:customStyle="1" w:styleId="CircularTitulo">
    <w:name w:val="CircularTitulo"/>
    <w:basedOn w:val="Normal"/>
    <w:uiPriority w:val="99"/>
    <w:rsid w:val="00AE1013"/>
    <w:pPr>
      <w:jc w:val="center"/>
    </w:pPr>
    <w:rPr>
      <w:b/>
      <w:bCs/>
      <w:spacing w:val="100"/>
      <w:sz w:val="24"/>
      <w:szCs w:val="24"/>
      <w:u w:val="single"/>
    </w:rPr>
  </w:style>
  <w:style w:type="character" w:styleId="Hipervnculo">
    <w:name w:val="Hyperlink"/>
    <w:basedOn w:val="Fuentedeprrafopredeter"/>
    <w:uiPriority w:val="99"/>
    <w:rsid w:val="00AE1013"/>
    <w:rPr>
      <w:color w:val="0000FF"/>
      <w:u w:val="single"/>
    </w:rPr>
  </w:style>
  <w:style w:type="paragraph" w:styleId="NormalWeb">
    <w:name w:val="Normal (Web)"/>
    <w:basedOn w:val="Normal"/>
    <w:uiPriority w:val="99"/>
    <w:rsid w:val="00F01D15"/>
    <w:rPr>
      <w:sz w:val="24"/>
      <w:szCs w:val="24"/>
    </w:rPr>
  </w:style>
  <w:style w:type="paragraph" w:styleId="Encabezado">
    <w:name w:val="header"/>
    <w:basedOn w:val="Normal"/>
    <w:link w:val="EncabezadoCar"/>
    <w:uiPriority w:val="99"/>
    <w:unhideWhenUsed/>
    <w:rsid w:val="007C7168"/>
    <w:pPr>
      <w:tabs>
        <w:tab w:val="center" w:pos="4252"/>
        <w:tab w:val="right" w:pos="8504"/>
      </w:tabs>
    </w:pPr>
  </w:style>
  <w:style w:type="character" w:customStyle="1" w:styleId="EncabezadoCar">
    <w:name w:val="Encabezado Car"/>
    <w:basedOn w:val="Fuentedeprrafopredeter"/>
    <w:link w:val="Encabezado"/>
    <w:uiPriority w:val="99"/>
    <w:rsid w:val="007C7168"/>
    <w:rPr>
      <w:rFonts w:ascii="Century Gothic" w:hAnsi="Century Gothic" w:cs="Century Gothic"/>
      <w:lang w:val="es-ES_tradnl"/>
    </w:rPr>
  </w:style>
  <w:style w:type="paragraph" w:styleId="Piedepgina">
    <w:name w:val="footer"/>
    <w:basedOn w:val="Normal"/>
    <w:link w:val="PiedepginaCar"/>
    <w:uiPriority w:val="99"/>
    <w:unhideWhenUsed/>
    <w:rsid w:val="007C7168"/>
    <w:pPr>
      <w:tabs>
        <w:tab w:val="center" w:pos="4252"/>
        <w:tab w:val="right" w:pos="8504"/>
      </w:tabs>
    </w:pPr>
  </w:style>
  <w:style w:type="character" w:customStyle="1" w:styleId="PiedepginaCar">
    <w:name w:val="Pie de página Car"/>
    <w:basedOn w:val="Fuentedeprrafopredeter"/>
    <w:link w:val="Piedepgina"/>
    <w:uiPriority w:val="99"/>
    <w:rsid w:val="007C7168"/>
    <w:rPr>
      <w:rFonts w:ascii="Century Gothic" w:hAnsi="Century Gothic" w:cs="Century Gothic"/>
      <w:lang w:val="es-ES_tradnl"/>
    </w:rPr>
  </w:style>
  <w:style w:type="paragraph" w:customStyle="1" w:styleId="encabezadonovedades">
    <w:name w:val="encabezadonovedades"/>
    <w:basedOn w:val="Normal"/>
    <w:rsid w:val="00D94B6C"/>
    <w:pPr>
      <w:widowControl/>
      <w:autoSpaceDE/>
      <w:autoSpaceDN/>
      <w:spacing w:before="100" w:beforeAutospacing="1" w:after="100" w:afterAutospacing="1"/>
      <w:jc w:val="left"/>
    </w:pPr>
    <w:rPr>
      <w:rFonts w:ascii="Times New Roman" w:hAnsi="Times New Roman" w:cs="Times New Roman"/>
      <w:sz w:val="24"/>
      <w:szCs w:val="24"/>
      <w:lang w:val="es-AR"/>
    </w:rPr>
  </w:style>
  <w:style w:type="character" w:customStyle="1" w:styleId="sumarionovedades">
    <w:name w:val="sumarionovedades"/>
    <w:basedOn w:val="Fuentedeprrafopredeter"/>
    <w:uiPriority w:val="99"/>
    <w:rsid w:val="00D94B6C"/>
  </w:style>
  <w:style w:type="character" w:customStyle="1" w:styleId="negritanovedades">
    <w:name w:val="negritanovedades"/>
    <w:rsid w:val="000A037A"/>
  </w:style>
  <w:style w:type="character" w:customStyle="1" w:styleId="artculo">
    <w:name w:val="artculo"/>
    <w:rsid w:val="000A037A"/>
  </w:style>
  <w:style w:type="paragraph" w:customStyle="1" w:styleId="tablacentrado8">
    <w:name w:val="tablacentrado8"/>
    <w:basedOn w:val="Normal"/>
    <w:uiPriority w:val="99"/>
    <w:rsid w:val="00C86033"/>
    <w:pPr>
      <w:widowControl/>
      <w:autoSpaceDE/>
      <w:autoSpaceDN/>
      <w:jc w:val="center"/>
    </w:pPr>
    <w:rPr>
      <w:rFonts w:ascii="Verdana" w:hAnsi="Verdana" w:cs="Verdana"/>
      <w:sz w:val="15"/>
      <w:szCs w:val="15"/>
      <w:lang w:val="es-ES" w:eastAsia="es-ES"/>
    </w:rPr>
  </w:style>
  <w:style w:type="table" w:styleId="Tablaconcuadrcula1">
    <w:name w:val="Table Grid 1"/>
    <w:basedOn w:val="Tablanormal"/>
    <w:uiPriority w:val="99"/>
    <w:rsid w:val="00C86033"/>
    <w:pPr>
      <w:spacing w:after="0" w:line="240" w:lineRule="auto"/>
    </w:pPr>
    <w:rPr>
      <w:rFonts w:ascii="Century Gothic" w:hAnsi="Century Gothic" w:cs="Century Gothic"/>
      <w:sz w:val="20"/>
      <w:szCs w:val="2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Century Gothic"/>
      </w:rPr>
      <w:tblPr/>
      <w:tcPr>
        <w:tcBorders>
          <w:tl2br w:val="none" w:sz="0" w:space="0" w:color="auto"/>
          <w:tr2bl w:val="none" w:sz="0" w:space="0" w:color="auto"/>
        </w:tcBorders>
      </w:tcPr>
    </w:tblStylePr>
    <w:tblStylePr w:type="lastCol">
      <w:rPr>
        <w:rFonts w:cs="Century Gothic"/>
      </w:rPr>
      <w:tblPr/>
      <w:tcPr>
        <w:tcBorders>
          <w:tl2br w:val="none" w:sz="0" w:space="0" w:color="auto"/>
          <w:tr2bl w:val="none" w:sz="0" w:space="0" w:color="auto"/>
        </w:tcBorders>
      </w:tcPr>
    </w:tblStylePr>
  </w:style>
  <w:style w:type="paragraph" w:styleId="Prrafodelista">
    <w:name w:val="List Paragraph"/>
    <w:basedOn w:val="Normal"/>
    <w:uiPriority w:val="34"/>
    <w:qFormat/>
    <w:rsid w:val="0048594D"/>
    <w:pPr>
      <w:ind w:left="708"/>
    </w:pPr>
  </w:style>
  <w:style w:type="paragraph" w:styleId="Textonotaalfinal">
    <w:name w:val="endnote text"/>
    <w:basedOn w:val="Normal"/>
    <w:link w:val="TextonotaalfinalCar"/>
    <w:uiPriority w:val="99"/>
    <w:rsid w:val="00E60287"/>
    <w:rPr>
      <w:sz w:val="20"/>
      <w:szCs w:val="20"/>
    </w:rPr>
  </w:style>
  <w:style w:type="character" w:customStyle="1" w:styleId="TextonotaalfinalCar">
    <w:name w:val="Texto nota al final Car"/>
    <w:basedOn w:val="Fuentedeprrafopredeter"/>
    <w:link w:val="Textonotaalfinal"/>
    <w:uiPriority w:val="99"/>
    <w:rsid w:val="00E60287"/>
    <w:rPr>
      <w:rFonts w:ascii="Century Gothic" w:hAnsi="Century Gothic" w:cs="Century Gothic"/>
      <w:sz w:val="20"/>
      <w:szCs w:val="20"/>
      <w:lang w:val="es-ES_tradnl"/>
    </w:rPr>
  </w:style>
  <w:style w:type="character" w:styleId="Refdenotaalfinal">
    <w:name w:val="endnote reference"/>
    <w:basedOn w:val="Fuentedeprrafopredeter"/>
    <w:uiPriority w:val="99"/>
    <w:rsid w:val="00E60287"/>
    <w:rPr>
      <w:rFonts w:cs="Times New Roman"/>
      <w:vertAlign w:val="superscript"/>
    </w:rPr>
  </w:style>
  <w:style w:type="table" w:styleId="Tablaconcuadrcula">
    <w:name w:val="Table Grid"/>
    <w:basedOn w:val="Tablanormal"/>
    <w:uiPriority w:val="59"/>
    <w:rsid w:val="00CD2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rrepar1erfrancesnovedades">
    <w:name w:val="errepar_1erfrancesnovedades"/>
    <w:basedOn w:val="Normal"/>
    <w:rsid w:val="00342069"/>
    <w:pPr>
      <w:widowControl/>
      <w:autoSpaceDE/>
      <w:autoSpaceDN/>
      <w:spacing w:before="100" w:beforeAutospacing="1" w:after="100" w:afterAutospacing="1"/>
      <w:jc w:val="left"/>
    </w:pPr>
    <w:rPr>
      <w:rFonts w:ascii="Times New Roman" w:hAnsi="Times New Roman" w:cs="Times New Roman"/>
      <w:sz w:val="24"/>
      <w:szCs w:val="24"/>
      <w:lang w:val="es-AR"/>
    </w:rPr>
  </w:style>
  <w:style w:type="paragraph" w:customStyle="1" w:styleId="errepar2dofrancesnovedades">
    <w:name w:val="errepar_2dofrancesnovedades"/>
    <w:basedOn w:val="Normal"/>
    <w:rsid w:val="00342069"/>
    <w:pPr>
      <w:widowControl/>
      <w:autoSpaceDE/>
      <w:autoSpaceDN/>
      <w:spacing w:before="100" w:beforeAutospacing="1" w:after="100" w:afterAutospacing="1"/>
      <w:jc w:val="left"/>
    </w:pPr>
    <w:rPr>
      <w:rFonts w:ascii="Times New Roman" w:hAnsi="Times New Roman" w:cs="Times New Roman"/>
      <w:sz w:val="24"/>
      <w:szCs w:val="24"/>
      <w:lang w:val="es-AR"/>
    </w:rPr>
  </w:style>
  <w:style w:type="character" w:customStyle="1" w:styleId="hipervnculo0">
    <w:name w:val="hipervnculo"/>
    <w:basedOn w:val="Fuentedeprrafopredeter"/>
    <w:rsid w:val="00E14174"/>
    <w:rPr>
      <w:rFonts w:cs="Times New Roman"/>
    </w:rPr>
  </w:style>
  <w:style w:type="character" w:styleId="Textoennegrita">
    <w:name w:val="Strong"/>
    <w:basedOn w:val="Fuentedeprrafopredeter"/>
    <w:uiPriority w:val="22"/>
    <w:qFormat/>
    <w:rsid w:val="007F0A45"/>
    <w:rPr>
      <w:b/>
      <w:bCs/>
    </w:rPr>
  </w:style>
  <w:style w:type="paragraph" w:styleId="Textoindependiente">
    <w:name w:val="Body Text"/>
    <w:basedOn w:val="Normal"/>
    <w:link w:val="TextoindependienteCar"/>
    <w:uiPriority w:val="99"/>
    <w:rsid w:val="003606A1"/>
    <w:rPr>
      <w:rFonts w:eastAsiaTheme="minorEastAsia"/>
      <w:u w:val="single"/>
    </w:rPr>
  </w:style>
  <w:style w:type="character" w:customStyle="1" w:styleId="TextoindependienteCar">
    <w:name w:val="Texto independiente Car"/>
    <w:basedOn w:val="Fuentedeprrafopredeter"/>
    <w:link w:val="Textoindependiente"/>
    <w:uiPriority w:val="99"/>
    <w:rsid w:val="003606A1"/>
    <w:rPr>
      <w:rFonts w:ascii="Century Gothic" w:eastAsiaTheme="minorEastAsia" w:hAnsi="Century Gothic" w:cs="Century Gothic"/>
      <w:u w:val="single"/>
      <w:lang w:val="es-ES_tradnl"/>
    </w:rPr>
  </w:style>
  <w:style w:type="paragraph" w:customStyle="1" w:styleId="normalweb0">
    <w:name w:val="normalweb"/>
    <w:basedOn w:val="Normal"/>
    <w:rsid w:val="00AE5D6A"/>
    <w:pPr>
      <w:widowControl/>
      <w:autoSpaceDE/>
      <w:autoSpaceDN/>
      <w:spacing w:before="100" w:beforeAutospacing="1" w:after="100" w:afterAutospacing="1"/>
      <w:jc w:val="left"/>
    </w:pPr>
    <w:rPr>
      <w:rFonts w:ascii="Calibri" w:hAnsi="Calibri" w:cs="Times New Roman"/>
      <w:sz w:val="24"/>
      <w:szCs w:val="24"/>
      <w:lang w:val="es-ES" w:eastAsia="es-ES"/>
    </w:rPr>
  </w:style>
  <w:style w:type="character" w:customStyle="1" w:styleId="textonovedades1">
    <w:name w:val="textonovedades1"/>
    <w:rsid w:val="00AE5D6A"/>
    <w:rPr>
      <w:rFonts w:ascii="Verdana" w:hAnsi="Verdana" w:hint="default"/>
      <w:sz w:val="16"/>
      <w:szCs w:val="16"/>
    </w:rPr>
  </w:style>
  <w:style w:type="character" w:styleId="Hipervnculovisitado">
    <w:name w:val="FollowedHyperlink"/>
    <w:basedOn w:val="Fuentedeprrafopredeter"/>
    <w:uiPriority w:val="99"/>
    <w:semiHidden/>
    <w:unhideWhenUsed/>
    <w:rsid w:val="00E700AC"/>
    <w:rPr>
      <w:color w:val="954F72" w:themeColor="followedHyperlink"/>
      <w:u w:val="single"/>
    </w:rPr>
  </w:style>
  <w:style w:type="paragraph" w:customStyle="1" w:styleId="texto8novedades">
    <w:name w:val="texto8novedades"/>
    <w:basedOn w:val="Normal"/>
    <w:rsid w:val="00CF29B6"/>
    <w:pPr>
      <w:widowControl/>
      <w:autoSpaceDE/>
      <w:autoSpaceDN/>
      <w:spacing w:before="100" w:beforeAutospacing="1" w:after="100" w:afterAutospacing="1"/>
      <w:jc w:val="left"/>
    </w:pPr>
    <w:rPr>
      <w:rFonts w:ascii="Times New Roman" w:hAnsi="Times New Roman" w:cs="Times New Roman"/>
      <w:sz w:val="24"/>
      <w:szCs w:val="24"/>
      <w:lang w:val="es-AR"/>
    </w:rPr>
  </w:style>
  <w:style w:type="paragraph" w:customStyle="1" w:styleId="textocentradonegritanovedades">
    <w:name w:val="textocentradonegritanovedades"/>
    <w:basedOn w:val="Normal"/>
    <w:rsid w:val="00B91300"/>
    <w:pPr>
      <w:widowControl/>
      <w:autoSpaceDE/>
      <w:autoSpaceDN/>
      <w:spacing w:before="100" w:beforeAutospacing="1" w:after="100" w:afterAutospacing="1"/>
      <w:jc w:val="left"/>
    </w:pPr>
    <w:rPr>
      <w:rFonts w:ascii="Times New Roman" w:hAnsi="Times New Roman" w:cs="Times New Roman"/>
      <w:sz w:val="24"/>
      <w:szCs w:val="24"/>
      <w:lang w:val="es-AR"/>
    </w:rPr>
  </w:style>
  <w:style w:type="paragraph" w:customStyle="1" w:styleId="sangrianovedades">
    <w:name w:val="sangrianovedades"/>
    <w:basedOn w:val="Normal"/>
    <w:rsid w:val="00B91300"/>
    <w:pPr>
      <w:widowControl/>
      <w:autoSpaceDE/>
      <w:autoSpaceDN/>
      <w:spacing w:before="100" w:beforeAutospacing="1" w:after="100" w:afterAutospacing="1"/>
      <w:jc w:val="left"/>
    </w:pPr>
    <w:rPr>
      <w:rFonts w:ascii="Times New Roman" w:hAnsi="Times New Roman" w:cs="Times New Roman"/>
      <w:sz w:val="24"/>
      <w:szCs w:val="24"/>
      <w:lang w:val="es-AR"/>
    </w:rPr>
  </w:style>
  <w:style w:type="paragraph" w:styleId="Textonotapie">
    <w:name w:val="footnote text"/>
    <w:basedOn w:val="Normal"/>
    <w:link w:val="TextonotapieCar"/>
    <w:uiPriority w:val="99"/>
    <w:semiHidden/>
    <w:unhideWhenUsed/>
    <w:rsid w:val="00B91300"/>
    <w:pPr>
      <w:widowControl/>
      <w:autoSpaceDE/>
      <w:autoSpaceDN/>
      <w:jc w:val="left"/>
    </w:pPr>
    <w:rPr>
      <w:rFonts w:asciiTheme="minorHAnsi" w:eastAsiaTheme="minorHAnsi" w:hAnsiTheme="minorHAnsi" w:cstheme="minorBidi"/>
      <w:sz w:val="20"/>
      <w:szCs w:val="20"/>
      <w:lang w:val="es-AR" w:eastAsia="en-US"/>
    </w:rPr>
  </w:style>
  <w:style w:type="character" w:customStyle="1" w:styleId="TextonotapieCar">
    <w:name w:val="Texto nota pie Car"/>
    <w:basedOn w:val="Fuentedeprrafopredeter"/>
    <w:link w:val="Textonotapie"/>
    <w:uiPriority w:val="99"/>
    <w:semiHidden/>
    <w:rsid w:val="00B91300"/>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semiHidden/>
    <w:unhideWhenUsed/>
    <w:rsid w:val="00B91300"/>
    <w:rPr>
      <w:vertAlign w:val="superscript"/>
    </w:rPr>
  </w:style>
  <w:style w:type="paragraph" w:customStyle="1" w:styleId="Default">
    <w:name w:val="Default"/>
    <w:basedOn w:val="Normal"/>
    <w:rsid w:val="003243E1"/>
    <w:pPr>
      <w:widowControl/>
      <w:jc w:val="left"/>
    </w:pPr>
    <w:rPr>
      <w:rFonts w:ascii="Calibri" w:eastAsiaTheme="minorHAnsi" w:hAnsi="Calibri" w:cs="Calibri"/>
      <w:color w:val="000000"/>
      <w:sz w:val="24"/>
      <w:szCs w:val="24"/>
      <w:lang w:eastAsia="es-ES_tradnl"/>
    </w:rPr>
  </w:style>
  <w:style w:type="paragraph" w:styleId="Textodeglobo">
    <w:name w:val="Balloon Text"/>
    <w:basedOn w:val="Normal"/>
    <w:link w:val="TextodegloboCar"/>
    <w:uiPriority w:val="99"/>
    <w:semiHidden/>
    <w:unhideWhenUsed/>
    <w:rsid w:val="00FB660F"/>
    <w:rPr>
      <w:rFonts w:ascii="Tahoma" w:hAnsi="Tahoma" w:cs="Tahoma"/>
      <w:sz w:val="16"/>
      <w:szCs w:val="16"/>
    </w:rPr>
  </w:style>
  <w:style w:type="character" w:customStyle="1" w:styleId="TextodegloboCar">
    <w:name w:val="Texto de globo Car"/>
    <w:basedOn w:val="Fuentedeprrafopredeter"/>
    <w:link w:val="Textodeglobo"/>
    <w:uiPriority w:val="99"/>
    <w:semiHidden/>
    <w:rsid w:val="00FB660F"/>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4791">
      <w:bodyDiv w:val="1"/>
      <w:marLeft w:val="0"/>
      <w:marRight w:val="0"/>
      <w:marTop w:val="0"/>
      <w:marBottom w:val="0"/>
      <w:divBdr>
        <w:top w:val="none" w:sz="0" w:space="0" w:color="auto"/>
        <w:left w:val="none" w:sz="0" w:space="0" w:color="auto"/>
        <w:bottom w:val="none" w:sz="0" w:space="0" w:color="auto"/>
        <w:right w:val="none" w:sz="0" w:space="0" w:color="auto"/>
      </w:divBdr>
    </w:div>
    <w:div w:id="129715155">
      <w:bodyDiv w:val="1"/>
      <w:marLeft w:val="0"/>
      <w:marRight w:val="0"/>
      <w:marTop w:val="0"/>
      <w:marBottom w:val="0"/>
      <w:divBdr>
        <w:top w:val="none" w:sz="0" w:space="0" w:color="auto"/>
        <w:left w:val="none" w:sz="0" w:space="0" w:color="auto"/>
        <w:bottom w:val="none" w:sz="0" w:space="0" w:color="auto"/>
        <w:right w:val="none" w:sz="0" w:space="0" w:color="auto"/>
      </w:divBdr>
    </w:div>
    <w:div w:id="140080777">
      <w:bodyDiv w:val="1"/>
      <w:marLeft w:val="0"/>
      <w:marRight w:val="0"/>
      <w:marTop w:val="0"/>
      <w:marBottom w:val="0"/>
      <w:divBdr>
        <w:top w:val="none" w:sz="0" w:space="0" w:color="auto"/>
        <w:left w:val="none" w:sz="0" w:space="0" w:color="auto"/>
        <w:bottom w:val="none" w:sz="0" w:space="0" w:color="auto"/>
        <w:right w:val="none" w:sz="0" w:space="0" w:color="auto"/>
      </w:divBdr>
    </w:div>
    <w:div w:id="188684771">
      <w:bodyDiv w:val="1"/>
      <w:marLeft w:val="0"/>
      <w:marRight w:val="0"/>
      <w:marTop w:val="0"/>
      <w:marBottom w:val="0"/>
      <w:divBdr>
        <w:top w:val="none" w:sz="0" w:space="0" w:color="auto"/>
        <w:left w:val="none" w:sz="0" w:space="0" w:color="auto"/>
        <w:bottom w:val="none" w:sz="0" w:space="0" w:color="auto"/>
        <w:right w:val="none" w:sz="0" w:space="0" w:color="auto"/>
      </w:divBdr>
    </w:div>
    <w:div w:id="204568184">
      <w:bodyDiv w:val="1"/>
      <w:marLeft w:val="0"/>
      <w:marRight w:val="0"/>
      <w:marTop w:val="0"/>
      <w:marBottom w:val="0"/>
      <w:divBdr>
        <w:top w:val="none" w:sz="0" w:space="0" w:color="auto"/>
        <w:left w:val="none" w:sz="0" w:space="0" w:color="auto"/>
        <w:bottom w:val="none" w:sz="0" w:space="0" w:color="auto"/>
        <w:right w:val="none" w:sz="0" w:space="0" w:color="auto"/>
      </w:divBdr>
    </w:div>
    <w:div w:id="229072664">
      <w:marLeft w:val="0"/>
      <w:marRight w:val="0"/>
      <w:marTop w:val="0"/>
      <w:marBottom w:val="0"/>
      <w:divBdr>
        <w:top w:val="none" w:sz="0" w:space="0" w:color="auto"/>
        <w:left w:val="none" w:sz="0" w:space="0" w:color="auto"/>
        <w:bottom w:val="none" w:sz="0" w:space="0" w:color="auto"/>
        <w:right w:val="none" w:sz="0" w:space="0" w:color="auto"/>
      </w:divBdr>
    </w:div>
    <w:div w:id="229072665">
      <w:marLeft w:val="0"/>
      <w:marRight w:val="0"/>
      <w:marTop w:val="0"/>
      <w:marBottom w:val="0"/>
      <w:divBdr>
        <w:top w:val="none" w:sz="0" w:space="0" w:color="auto"/>
        <w:left w:val="none" w:sz="0" w:space="0" w:color="auto"/>
        <w:bottom w:val="none" w:sz="0" w:space="0" w:color="auto"/>
        <w:right w:val="none" w:sz="0" w:space="0" w:color="auto"/>
      </w:divBdr>
    </w:div>
    <w:div w:id="229072666">
      <w:marLeft w:val="0"/>
      <w:marRight w:val="0"/>
      <w:marTop w:val="0"/>
      <w:marBottom w:val="0"/>
      <w:divBdr>
        <w:top w:val="none" w:sz="0" w:space="0" w:color="auto"/>
        <w:left w:val="none" w:sz="0" w:space="0" w:color="auto"/>
        <w:bottom w:val="none" w:sz="0" w:space="0" w:color="auto"/>
        <w:right w:val="none" w:sz="0" w:space="0" w:color="auto"/>
      </w:divBdr>
    </w:div>
    <w:div w:id="229072667">
      <w:marLeft w:val="0"/>
      <w:marRight w:val="0"/>
      <w:marTop w:val="0"/>
      <w:marBottom w:val="0"/>
      <w:divBdr>
        <w:top w:val="none" w:sz="0" w:space="0" w:color="auto"/>
        <w:left w:val="none" w:sz="0" w:space="0" w:color="auto"/>
        <w:bottom w:val="none" w:sz="0" w:space="0" w:color="auto"/>
        <w:right w:val="none" w:sz="0" w:space="0" w:color="auto"/>
      </w:divBdr>
    </w:div>
    <w:div w:id="245386871">
      <w:bodyDiv w:val="1"/>
      <w:marLeft w:val="0"/>
      <w:marRight w:val="0"/>
      <w:marTop w:val="0"/>
      <w:marBottom w:val="0"/>
      <w:divBdr>
        <w:top w:val="none" w:sz="0" w:space="0" w:color="auto"/>
        <w:left w:val="none" w:sz="0" w:space="0" w:color="auto"/>
        <w:bottom w:val="none" w:sz="0" w:space="0" w:color="auto"/>
        <w:right w:val="none" w:sz="0" w:space="0" w:color="auto"/>
      </w:divBdr>
    </w:div>
    <w:div w:id="311758607">
      <w:bodyDiv w:val="1"/>
      <w:marLeft w:val="0"/>
      <w:marRight w:val="0"/>
      <w:marTop w:val="0"/>
      <w:marBottom w:val="0"/>
      <w:divBdr>
        <w:top w:val="none" w:sz="0" w:space="0" w:color="auto"/>
        <w:left w:val="none" w:sz="0" w:space="0" w:color="auto"/>
        <w:bottom w:val="none" w:sz="0" w:space="0" w:color="auto"/>
        <w:right w:val="none" w:sz="0" w:space="0" w:color="auto"/>
      </w:divBdr>
    </w:div>
    <w:div w:id="319505690">
      <w:bodyDiv w:val="1"/>
      <w:marLeft w:val="0"/>
      <w:marRight w:val="0"/>
      <w:marTop w:val="0"/>
      <w:marBottom w:val="0"/>
      <w:divBdr>
        <w:top w:val="none" w:sz="0" w:space="0" w:color="auto"/>
        <w:left w:val="none" w:sz="0" w:space="0" w:color="auto"/>
        <w:bottom w:val="none" w:sz="0" w:space="0" w:color="auto"/>
        <w:right w:val="none" w:sz="0" w:space="0" w:color="auto"/>
      </w:divBdr>
    </w:div>
    <w:div w:id="486440031">
      <w:bodyDiv w:val="1"/>
      <w:marLeft w:val="0"/>
      <w:marRight w:val="0"/>
      <w:marTop w:val="0"/>
      <w:marBottom w:val="0"/>
      <w:divBdr>
        <w:top w:val="none" w:sz="0" w:space="0" w:color="auto"/>
        <w:left w:val="none" w:sz="0" w:space="0" w:color="auto"/>
        <w:bottom w:val="none" w:sz="0" w:space="0" w:color="auto"/>
        <w:right w:val="none" w:sz="0" w:space="0" w:color="auto"/>
      </w:divBdr>
    </w:div>
    <w:div w:id="515735215">
      <w:bodyDiv w:val="1"/>
      <w:marLeft w:val="0"/>
      <w:marRight w:val="0"/>
      <w:marTop w:val="0"/>
      <w:marBottom w:val="0"/>
      <w:divBdr>
        <w:top w:val="none" w:sz="0" w:space="0" w:color="auto"/>
        <w:left w:val="none" w:sz="0" w:space="0" w:color="auto"/>
        <w:bottom w:val="none" w:sz="0" w:space="0" w:color="auto"/>
        <w:right w:val="none" w:sz="0" w:space="0" w:color="auto"/>
      </w:divBdr>
    </w:div>
    <w:div w:id="678579801">
      <w:bodyDiv w:val="1"/>
      <w:marLeft w:val="0"/>
      <w:marRight w:val="0"/>
      <w:marTop w:val="0"/>
      <w:marBottom w:val="0"/>
      <w:divBdr>
        <w:top w:val="none" w:sz="0" w:space="0" w:color="auto"/>
        <w:left w:val="none" w:sz="0" w:space="0" w:color="auto"/>
        <w:bottom w:val="none" w:sz="0" w:space="0" w:color="auto"/>
        <w:right w:val="none" w:sz="0" w:space="0" w:color="auto"/>
      </w:divBdr>
    </w:div>
    <w:div w:id="951281726">
      <w:bodyDiv w:val="1"/>
      <w:marLeft w:val="0"/>
      <w:marRight w:val="0"/>
      <w:marTop w:val="0"/>
      <w:marBottom w:val="0"/>
      <w:divBdr>
        <w:top w:val="none" w:sz="0" w:space="0" w:color="auto"/>
        <w:left w:val="none" w:sz="0" w:space="0" w:color="auto"/>
        <w:bottom w:val="none" w:sz="0" w:space="0" w:color="auto"/>
        <w:right w:val="none" w:sz="0" w:space="0" w:color="auto"/>
      </w:divBdr>
    </w:div>
    <w:div w:id="1037777778">
      <w:bodyDiv w:val="1"/>
      <w:marLeft w:val="0"/>
      <w:marRight w:val="0"/>
      <w:marTop w:val="0"/>
      <w:marBottom w:val="0"/>
      <w:divBdr>
        <w:top w:val="none" w:sz="0" w:space="0" w:color="auto"/>
        <w:left w:val="none" w:sz="0" w:space="0" w:color="auto"/>
        <w:bottom w:val="none" w:sz="0" w:space="0" w:color="auto"/>
        <w:right w:val="none" w:sz="0" w:space="0" w:color="auto"/>
      </w:divBdr>
    </w:div>
    <w:div w:id="1106391271">
      <w:bodyDiv w:val="1"/>
      <w:marLeft w:val="0"/>
      <w:marRight w:val="0"/>
      <w:marTop w:val="0"/>
      <w:marBottom w:val="0"/>
      <w:divBdr>
        <w:top w:val="none" w:sz="0" w:space="0" w:color="auto"/>
        <w:left w:val="none" w:sz="0" w:space="0" w:color="auto"/>
        <w:bottom w:val="none" w:sz="0" w:space="0" w:color="auto"/>
        <w:right w:val="none" w:sz="0" w:space="0" w:color="auto"/>
      </w:divBdr>
    </w:div>
    <w:div w:id="1113398367">
      <w:bodyDiv w:val="1"/>
      <w:marLeft w:val="0"/>
      <w:marRight w:val="0"/>
      <w:marTop w:val="0"/>
      <w:marBottom w:val="0"/>
      <w:divBdr>
        <w:top w:val="none" w:sz="0" w:space="0" w:color="auto"/>
        <w:left w:val="none" w:sz="0" w:space="0" w:color="auto"/>
        <w:bottom w:val="none" w:sz="0" w:space="0" w:color="auto"/>
        <w:right w:val="none" w:sz="0" w:space="0" w:color="auto"/>
      </w:divBdr>
    </w:div>
    <w:div w:id="1192644101">
      <w:bodyDiv w:val="1"/>
      <w:marLeft w:val="0"/>
      <w:marRight w:val="0"/>
      <w:marTop w:val="0"/>
      <w:marBottom w:val="0"/>
      <w:divBdr>
        <w:top w:val="none" w:sz="0" w:space="0" w:color="auto"/>
        <w:left w:val="none" w:sz="0" w:space="0" w:color="auto"/>
        <w:bottom w:val="none" w:sz="0" w:space="0" w:color="auto"/>
        <w:right w:val="none" w:sz="0" w:space="0" w:color="auto"/>
      </w:divBdr>
    </w:div>
    <w:div w:id="1417508681">
      <w:bodyDiv w:val="1"/>
      <w:marLeft w:val="0"/>
      <w:marRight w:val="0"/>
      <w:marTop w:val="0"/>
      <w:marBottom w:val="0"/>
      <w:divBdr>
        <w:top w:val="none" w:sz="0" w:space="0" w:color="auto"/>
        <w:left w:val="none" w:sz="0" w:space="0" w:color="auto"/>
        <w:bottom w:val="none" w:sz="0" w:space="0" w:color="auto"/>
        <w:right w:val="none" w:sz="0" w:space="0" w:color="auto"/>
      </w:divBdr>
    </w:div>
    <w:div w:id="1645810087">
      <w:bodyDiv w:val="1"/>
      <w:marLeft w:val="0"/>
      <w:marRight w:val="0"/>
      <w:marTop w:val="0"/>
      <w:marBottom w:val="0"/>
      <w:divBdr>
        <w:top w:val="none" w:sz="0" w:space="0" w:color="auto"/>
        <w:left w:val="none" w:sz="0" w:space="0" w:color="auto"/>
        <w:bottom w:val="none" w:sz="0" w:space="0" w:color="auto"/>
        <w:right w:val="none" w:sz="0" w:space="0" w:color="auto"/>
      </w:divBdr>
    </w:div>
    <w:div w:id="1723207619">
      <w:bodyDiv w:val="1"/>
      <w:marLeft w:val="0"/>
      <w:marRight w:val="0"/>
      <w:marTop w:val="0"/>
      <w:marBottom w:val="0"/>
      <w:divBdr>
        <w:top w:val="none" w:sz="0" w:space="0" w:color="auto"/>
        <w:left w:val="none" w:sz="0" w:space="0" w:color="auto"/>
        <w:bottom w:val="none" w:sz="0" w:space="0" w:color="auto"/>
        <w:right w:val="none" w:sz="0" w:space="0" w:color="auto"/>
      </w:divBdr>
    </w:div>
    <w:div w:id="1817801384">
      <w:bodyDiv w:val="1"/>
      <w:marLeft w:val="0"/>
      <w:marRight w:val="0"/>
      <w:marTop w:val="0"/>
      <w:marBottom w:val="0"/>
      <w:divBdr>
        <w:top w:val="none" w:sz="0" w:space="0" w:color="auto"/>
        <w:left w:val="none" w:sz="0" w:space="0" w:color="auto"/>
        <w:bottom w:val="none" w:sz="0" w:space="0" w:color="auto"/>
        <w:right w:val="none" w:sz="0" w:space="0" w:color="auto"/>
      </w:divBdr>
    </w:div>
    <w:div w:id="1887331268">
      <w:bodyDiv w:val="1"/>
      <w:marLeft w:val="0"/>
      <w:marRight w:val="0"/>
      <w:marTop w:val="0"/>
      <w:marBottom w:val="0"/>
      <w:divBdr>
        <w:top w:val="none" w:sz="0" w:space="0" w:color="auto"/>
        <w:left w:val="none" w:sz="0" w:space="0" w:color="auto"/>
        <w:bottom w:val="none" w:sz="0" w:space="0" w:color="auto"/>
        <w:right w:val="none" w:sz="0" w:space="0" w:color="auto"/>
      </w:divBdr>
    </w:div>
    <w:div w:id="1917279574">
      <w:bodyDiv w:val="1"/>
      <w:marLeft w:val="0"/>
      <w:marRight w:val="0"/>
      <w:marTop w:val="0"/>
      <w:marBottom w:val="0"/>
      <w:divBdr>
        <w:top w:val="none" w:sz="0" w:space="0" w:color="auto"/>
        <w:left w:val="none" w:sz="0" w:space="0" w:color="auto"/>
        <w:bottom w:val="none" w:sz="0" w:space="0" w:color="auto"/>
        <w:right w:val="none" w:sz="0" w:space="0" w:color="auto"/>
      </w:divBdr>
    </w:div>
    <w:div w:id="1934822825">
      <w:bodyDiv w:val="1"/>
      <w:marLeft w:val="0"/>
      <w:marRight w:val="0"/>
      <w:marTop w:val="0"/>
      <w:marBottom w:val="0"/>
      <w:divBdr>
        <w:top w:val="none" w:sz="0" w:space="0" w:color="auto"/>
        <w:left w:val="none" w:sz="0" w:space="0" w:color="auto"/>
        <w:bottom w:val="none" w:sz="0" w:space="0" w:color="auto"/>
        <w:right w:val="none" w:sz="0" w:space="0" w:color="auto"/>
      </w:divBdr>
    </w:div>
    <w:div w:id="204131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2178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Circular   informativa</vt:lpstr>
    </vt:vector>
  </TitlesOfParts>
  <Company>L.B.</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informativa</dc:title>
  <dc:creator>Desconocido</dc:creator>
  <cp:lastModifiedBy>Betty Schanz</cp:lastModifiedBy>
  <cp:revision>3</cp:revision>
  <dcterms:created xsi:type="dcterms:W3CDTF">2019-08-27T20:09:00Z</dcterms:created>
  <dcterms:modified xsi:type="dcterms:W3CDTF">2019-08-27T20:39:00Z</dcterms:modified>
</cp:coreProperties>
</file>