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CD7168">
        <w:rPr>
          <w:rFonts w:ascii="Arial" w:hAnsi="Arial" w:cs="Arial"/>
          <w:b/>
          <w:bCs/>
          <w:sz w:val="36"/>
          <w:szCs w:val="36"/>
        </w:rPr>
        <w:t>20-0</w:t>
      </w:r>
      <w:r w:rsidR="005F662E">
        <w:rPr>
          <w:rFonts w:ascii="Arial" w:hAnsi="Arial" w:cs="Arial"/>
          <w:b/>
          <w:bCs/>
          <w:sz w:val="36"/>
          <w:szCs w:val="36"/>
        </w:rPr>
        <w:t>2</w:t>
      </w:r>
      <w:r w:rsidR="00EC6BC0">
        <w:rPr>
          <w:rFonts w:ascii="Arial" w:hAnsi="Arial" w:cs="Arial"/>
          <w:b/>
          <w:bCs/>
          <w:sz w:val="36"/>
          <w:szCs w:val="36"/>
        </w:rPr>
        <w:t>1</w:t>
      </w:r>
    </w:p>
    <w:p w:rsidR="003A1181" w:rsidRDefault="003A1181" w:rsidP="00733626">
      <w:pPr>
        <w:rPr>
          <w:rFonts w:ascii="Arial" w:hAnsi="Arial" w:cs="Arial"/>
          <w:b/>
          <w:bCs/>
          <w:sz w:val="28"/>
          <w:szCs w:val="28"/>
        </w:rPr>
      </w:pPr>
    </w:p>
    <w:p w:rsidR="0044789A" w:rsidRDefault="0044789A" w:rsidP="0044789A">
      <w:pPr>
        <w:rPr>
          <w:rFonts w:ascii="Arial" w:hAnsi="Arial" w:cs="Arial"/>
          <w:b/>
          <w:bCs/>
          <w:sz w:val="28"/>
          <w:szCs w:val="28"/>
          <w:lang w:val="es-AR"/>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1E78D0">
        <w:rPr>
          <w:rFonts w:ascii="Arial" w:hAnsi="Arial" w:cs="Arial"/>
          <w:b/>
          <w:bCs/>
          <w:sz w:val="28"/>
          <w:szCs w:val="28"/>
        </w:rPr>
        <w:t>2</w:t>
      </w:r>
      <w:r w:rsidR="00C3361A">
        <w:rPr>
          <w:rFonts w:ascii="Arial" w:hAnsi="Arial" w:cs="Arial"/>
          <w:b/>
          <w:bCs/>
          <w:sz w:val="28"/>
          <w:szCs w:val="28"/>
        </w:rPr>
        <w:t>9</w:t>
      </w:r>
      <w:bookmarkStart w:id="0" w:name="_GoBack"/>
      <w:bookmarkEnd w:id="0"/>
    </w:p>
    <w:p w:rsidR="0044789A" w:rsidRPr="00D22348" w:rsidRDefault="0044789A" w:rsidP="0044789A">
      <w:pPr>
        <w:rPr>
          <w:rFonts w:ascii="Arial" w:hAnsi="Arial" w:cs="Arial"/>
        </w:rPr>
      </w:pPr>
    </w:p>
    <w:p w:rsidR="009A3009" w:rsidRPr="00D22348" w:rsidRDefault="009A3009" w:rsidP="0044789A">
      <w:pPr>
        <w:rPr>
          <w:rFonts w:ascii="Arial" w:hAnsi="Arial" w:cs="Arial"/>
          <w:b/>
        </w:rPr>
      </w:pPr>
    </w:p>
    <w:p w:rsidR="001A663D" w:rsidRPr="001A663D" w:rsidRDefault="00A2079F" w:rsidP="001A663D">
      <w:pPr>
        <w:spacing w:after="240"/>
        <w:rPr>
          <w:rFonts w:ascii="Arial" w:hAnsi="Arial" w:cs="Arial"/>
          <w:b/>
          <w:bCs/>
          <w:color w:val="323130"/>
          <w:u w:val="single"/>
          <w:bdr w:val="none" w:sz="0" w:space="0" w:color="auto" w:frame="1"/>
        </w:rPr>
      </w:pPr>
      <w:r w:rsidRPr="00D22348">
        <w:rPr>
          <w:rFonts w:ascii="Arial" w:hAnsi="Arial" w:cs="Arial"/>
          <w:b/>
          <w:sz w:val="24"/>
          <w:szCs w:val="24"/>
        </w:rPr>
        <w:t>Tema:</w:t>
      </w:r>
      <w:r w:rsidR="00580335">
        <w:rPr>
          <w:rFonts w:ascii="Arial" w:hAnsi="Arial" w:cs="Arial"/>
          <w:b/>
          <w:sz w:val="24"/>
          <w:szCs w:val="24"/>
        </w:rPr>
        <w:t xml:space="preserve"> CODIF</w:t>
      </w:r>
      <w:r w:rsidR="0095460F">
        <w:rPr>
          <w:rFonts w:ascii="Arial" w:hAnsi="Arial" w:cs="Arial"/>
          <w:b/>
          <w:sz w:val="24"/>
          <w:szCs w:val="24"/>
        </w:rPr>
        <w:t>ICACION</w:t>
      </w:r>
      <w:r w:rsidR="00580335">
        <w:rPr>
          <w:rFonts w:ascii="Arial" w:hAnsi="Arial" w:cs="Arial"/>
          <w:b/>
          <w:sz w:val="24"/>
          <w:szCs w:val="24"/>
        </w:rPr>
        <w:t xml:space="preserve"> Y ALICUOTA</w:t>
      </w:r>
      <w:r w:rsidR="0097073A">
        <w:rPr>
          <w:rFonts w:ascii="Arial" w:hAnsi="Arial" w:cs="Arial"/>
          <w:b/>
          <w:sz w:val="24"/>
          <w:szCs w:val="24"/>
        </w:rPr>
        <w:t xml:space="preserve">S </w:t>
      </w:r>
      <w:r w:rsidR="00580335">
        <w:rPr>
          <w:rFonts w:ascii="Arial" w:hAnsi="Arial" w:cs="Arial"/>
          <w:b/>
          <w:sz w:val="24"/>
          <w:szCs w:val="24"/>
        </w:rPr>
        <w:t>2020</w:t>
      </w:r>
    </w:p>
    <w:p w:rsidR="001A663D" w:rsidRPr="001A663D" w:rsidRDefault="001A663D" w:rsidP="001A663D">
      <w:pPr>
        <w:shd w:val="clear" w:color="auto" w:fill="FFFFFF"/>
        <w:rPr>
          <w:rFonts w:ascii="Arial" w:hAnsi="Arial" w:cs="Arial"/>
          <w:color w:val="323130"/>
        </w:rPr>
      </w:pPr>
      <w:r w:rsidRPr="001A663D">
        <w:rPr>
          <w:rFonts w:ascii="Arial" w:hAnsi="Arial" w:cs="Arial"/>
          <w:bCs/>
          <w:color w:val="323130"/>
        </w:rPr>
        <w:t> </w:t>
      </w:r>
    </w:p>
    <w:p w:rsidR="00C3361A" w:rsidRPr="002323C3" w:rsidRDefault="00C3361A" w:rsidP="00C3361A">
      <w:pPr>
        <w:jc w:val="center"/>
        <w:rPr>
          <w:b/>
          <w:i/>
          <w:sz w:val="40"/>
          <w:szCs w:val="40"/>
          <w:u w:val="single"/>
        </w:rPr>
      </w:pPr>
      <w:r w:rsidRPr="002323C3">
        <w:rPr>
          <w:b/>
          <w:i/>
          <w:sz w:val="40"/>
          <w:szCs w:val="40"/>
          <w:u w:val="single"/>
        </w:rPr>
        <w:t xml:space="preserve">PROVINCIA DE </w:t>
      </w:r>
      <w:r>
        <w:rPr>
          <w:b/>
          <w:i/>
          <w:sz w:val="40"/>
          <w:szCs w:val="40"/>
          <w:u w:val="single"/>
        </w:rPr>
        <w:t>TIERRA DEL FUEGO</w:t>
      </w:r>
    </w:p>
    <w:p w:rsidR="00C3361A" w:rsidRDefault="00C3361A" w:rsidP="00C3361A">
      <w:pPr>
        <w:jc w:val="center"/>
      </w:pPr>
    </w:p>
    <w:p w:rsidR="00C3361A" w:rsidRDefault="00C3361A" w:rsidP="00C3361A"/>
    <w:p w:rsidR="00C3361A" w:rsidRDefault="00C3361A" w:rsidP="00C3361A">
      <w:pPr>
        <w:rPr>
          <w:i/>
          <w:u w:val="single"/>
        </w:rPr>
      </w:pPr>
      <w:r w:rsidRPr="00700351">
        <w:rPr>
          <w:i/>
          <w:u w:val="single"/>
        </w:rPr>
        <w:t>CODIFICACION – ALICUOTAS</w:t>
      </w:r>
      <w:r>
        <w:rPr>
          <w:i/>
          <w:u w:val="single"/>
        </w:rPr>
        <w:t xml:space="preserve">  2020</w:t>
      </w:r>
    </w:p>
    <w:p w:rsidR="00C3361A" w:rsidRDefault="00C3361A" w:rsidP="00C3361A"/>
    <w:tbl>
      <w:tblPr>
        <w:tblW w:w="113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394"/>
        <w:gridCol w:w="1559"/>
        <w:gridCol w:w="3119"/>
      </w:tblGrid>
      <w:tr w:rsidR="00C3361A" w:rsidTr="00C3361A">
        <w:trPr>
          <w:trHeight w:val="352"/>
        </w:trPr>
        <w:tc>
          <w:tcPr>
            <w:tcW w:w="2235" w:type="dxa"/>
            <w:gridSpan w:val="2"/>
          </w:tcPr>
          <w:p w:rsidR="00C3361A" w:rsidRDefault="00C3361A" w:rsidP="00A474A0">
            <w:pPr>
              <w:jc w:val="center"/>
              <w:rPr>
                <w:b/>
              </w:rPr>
            </w:pPr>
          </w:p>
          <w:p w:rsidR="00C3361A" w:rsidRPr="007939E7" w:rsidRDefault="00C3361A" w:rsidP="00A474A0">
            <w:pPr>
              <w:jc w:val="center"/>
              <w:rPr>
                <w:b/>
              </w:rPr>
            </w:pPr>
            <w:r w:rsidRPr="007939E7">
              <w:rPr>
                <w:b/>
              </w:rPr>
              <w:t>CODIGO</w:t>
            </w:r>
          </w:p>
        </w:tc>
        <w:tc>
          <w:tcPr>
            <w:tcW w:w="4394" w:type="dxa"/>
            <w:vMerge w:val="restart"/>
          </w:tcPr>
          <w:p w:rsidR="00C3361A" w:rsidRDefault="00C3361A" w:rsidP="00A474A0">
            <w:pPr>
              <w:jc w:val="center"/>
              <w:rPr>
                <w:b/>
              </w:rPr>
            </w:pPr>
          </w:p>
          <w:p w:rsidR="00C3361A" w:rsidRPr="007939E7" w:rsidRDefault="00C3361A" w:rsidP="00A474A0">
            <w:pPr>
              <w:jc w:val="center"/>
              <w:rPr>
                <w:b/>
              </w:rPr>
            </w:pPr>
            <w:r w:rsidRPr="007939E7">
              <w:rPr>
                <w:b/>
              </w:rPr>
              <w:t>DESCRIPCION</w:t>
            </w:r>
          </w:p>
        </w:tc>
        <w:tc>
          <w:tcPr>
            <w:tcW w:w="1559" w:type="dxa"/>
            <w:vMerge w:val="restart"/>
          </w:tcPr>
          <w:p w:rsidR="00C3361A" w:rsidRDefault="00C3361A" w:rsidP="00A474A0">
            <w:pPr>
              <w:jc w:val="center"/>
              <w:rPr>
                <w:b/>
              </w:rPr>
            </w:pPr>
          </w:p>
          <w:p w:rsidR="00C3361A" w:rsidRPr="007939E7" w:rsidRDefault="00C3361A" w:rsidP="00A474A0">
            <w:pPr>
              <w:jc w:val="center"/>
              <w:rPr>
                <w:b/>
              </w:rPr>
            </w:pPr>
            <w:r w:rsidRPr="007939E7">
              <w:rPr>
                <w:b/>
              </w:rPr>
              <w:t>ALICUOTA</w:t>
            </w:r>
          </w:p>
        </w:tc>
        <w:tc>
          <w:tcPr>
            <w:tcW w:w="3119" w:type="dxa"/>
            <w:vMerge w:val="restart"/>
          </w:tcPr>
          <w:p w:rsidR="00C3361A" w:rsidRDefault="00C3361A" w:rsidP="00A474A0">
            <w:pPr>
              <w:jc w:val="center"/>
              <w:rPr>
                <w:b/>
              </w:rPr>
            </w:pPr>
          </w:p>
          <w:p w:rsidR="00C3361A" w:rsidRPr="007939E7" w:rsidRDefault="00C3361A" w:rsidP="00A474A0">
            <w:pPr>
              <w:jc w:val="center"/>
              <w:rPr>
                <w:b/>
              </w:rPr>
            </w:pPr>
            <w:r w:rsidRPr="007939E7">
              <w:rPr>
                <w:b/>
              </w:rPr>
              <w:t>OBSERVACIONES</w:t>
            </w:r>
          </w:p>
        </w:tc>
      </w:tr>
      <w:tr w:rsidR="00C3361A" w:rsidTr="00C3361A">
        <w:trPr>
          <w:trHeight w:val="351"/>
        </w:trPr>
        <w:tc>
          <w:tcPr>
            <w:tcW w:w="1101" w:type="dxa"/>
          </w:tcPr>
          <w:p w:rsidR="00C3361A" w:rsidRDefault="00C3361A" w:rsidP="00A474A0">
            <w:pPr>
              <w:jc w:val="center"/>
              <w:rPr>
                <w:b/>
              </w:rPr>
            </w:pPr>
            <w:r>
              <w:rPr>
                <w:b/>
              </w:rPr>
              <w:t>C.M.</w:t>
            </w:r>
          </w:p>
        </w:tc>
        <w:tc>
          <w:tcPr>
            <w:tcW w:w="1134" w:type="dxa"/>
          </w:tcPr>
          <w:p w:rsidR="00C3361A" w:rsidRDefault="00C3361A" w:rsidP="00A474A0">
            <w:pPr>
              <w:jc w:val="center"/>
              <w:rPr>
                <w:b/>
              </w:rPr>
            </w:pPr>
            <w:r>
              <w:rPr>
                <w:b/>
              </w:rPr>
              <w:t>PCIA.</w:t>
            </w:r>
          </w:p>
        </w:tc>
        <w:tc>
          <w:tcPr>
            <w:tcW w:w="4394" w:type="dxa"/>
            <w:vMerge/>
          </w:tcPr>
          <w:p w:rsidR="00C3361A" w:rsidRDefault="00C3361A" w:rsidP="00A474A0">
            <w:pPr>
              <w:jc w:val="center"/>
              <w:rPr>
                <w:b/>
              </w:rPr>
            </w:pPr>
          </w:p>
        </w:tc>
        <w:tc>
          <w:tcPr>
            <w:tcW w:w="1559" w:type="dxa"/>
            <w:vMerge/>
          </w:tcPr>
          <w:p w:rsidR="00C3361A" w:rsidRDefault="00C3361A" w:rsidP="00A474A0">
            <w:pPr>
              <w:jc w:val="center"/>
              <w:rPr>
                <w:b/>
              </w:rPr>
            </w:pPr>
          </w:p>
        </w:tc>
        <w:tc>
          <w:tcPr>
            <w:tcW w:w="3119" w:type="dxa"/>
            <w:vMerge/>
          </w:tcPr>
          <w:p w:rsidR="00C3361A" w:rsidRDefault="00C3361A" w:rsidP="00A474A0">
            <w:pPr>
              <w:jc w:val="center"/>
              <w:rPr>
                <w:b/>
              </w:rPr>
            </w:pPr>
          </w:p>
        </w:tc>
      </w:tr>
      <w:tr w:rsidR="00C3361A" w:rsidRPr="00357F23" w:rsidTr="00C3361A">
        <w:trPr>
          <w:trHeight w:val="334"/>
        </w:trPr>
        <w:tc>
          <w:tcPr>
            <w:tcW w:w="1101" w:type="dxa"/>
          </w:tcPr>
          <w:p w:rsidR="00C3361A" w:rsidRPr="00A96B6C" w:rsidRDefault="00C3361A" w:rsidP="00A474A0">
            <w:pPr>
              <w:jc w:val="center"/>
              <w:rPr>
                <w:rFonts w:ascii="Calibri" w:hAnsi="Calibri" w:cs="Calibri"/>
                <w:b/>
                <w:sz w:val="20"/>
                <w:szCs w:val="20"/>
              </w:rPr>
            </w:pPr>
            <w:r w:rsidRPr="00A96B6C">
              <w:rPr>
                <w:rFonts w:ascii="Calibri" w:hAnsi="Calibri" w:cs="Calibri"/>
                <w:b/>
                <w:sz w:val="20"/>
                <w:szCs w:val="20"/>
              </w:rPr>
              <w:t>492210</w:t>
            </w:r>
          </w:p>
        </w:tc>
        <w:tc>
          <w:tcPr>
            <w:tcW w:w="1134" w:type="dxa"/>
          </w:tcPr>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602110</w:t>
            </w:r>
          </w:p>
        </w:tc>
        <w:tc>
          <w:tcPr>
            <w:tcW w:w="4394" w:type="dxa"/>
          </w:tcPr>
          <w:p w:rsidR="00C3361A" w:rsidRPr="00357F23" w:rsidRDefault="00C3361A" w:rsidP="00A474A0">
            <w:pPr>
              <w:rPr>
                <w:rFonts w:ascii="Calibri" w:hAnsi="Calibri" w:cs="Calibri"/>
                <w:b/>
                <w:sz w:val="20"/>
                <w:szCs w:val="20"/>
              </w:rPr>
            </w:pPr>
            <w:r w:rsidRPr="00357F23">
              <w:rPr>
                <w:rFonts w:ascii="Calibri" w:hAnsi="Calibri" w:cs="Calibri"/>
                <w:b/>
                <w:sz w:val="20"/>
                <w:szCs w:val="20"/>
              </w:rPr>
              <w:t>Servicios de Mudanza</w:t>
            </w:r>
          </w:p>
          <w:p w:rsidR="00C3361A" w:rsidRPr="00357F23" w:rsidRDefault="00C3361A" w:rsidP="00A474A0">
            <w:pPr>
              <w:rPr>
                <w:rFonts w:ascii="Calibri" w:hAnsi="Calibri" w:cs="Calibri"/>
                <w:b/>
                <w:sz w:val="20"/>
                <w:szCs w:val="20"/>
              </w:rPr>
            </w:pPr>
          </w:p>
        </w:tc>
        <w:tc>
          <w:tcPr>
            <w:tcW w:w="1559" w:type="dxa"/>
            <w:vMerge w:val="restart"/>
          </w:tcPr>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Default="00C3361A" w:rsidP="00A474A0">
            <w:pPr>
              <w:jc w:val="center"/>
              <w:rPr>
                <w:rFonts w:ascii="Calibri" w:hAnsi="Calibri" w:cs="Calibri"/>
                <w:sz w:val="20"/>
                <w:szCs w:val="20"/>
              </w:rPr>
            </w:pPr>
          </w:p>
          <w:p w:rsidR="00C3361A" w:rsidRDefault="00C3361A" w:rsidP="00A474A0">
            <w:pPr>
              <w:jc w:val="center"/>
              <w:rPr>
                <w:rFonts w:ascii="Calibri" w:hAnsi="Calibri" w:cs="Calibri"/>
                <w:sz w:val="20"/>
                <w:szCs w:val="20"/>
              </w:rPr>
            </w:pPr>
          </w:p>
          <w:p w:rsidR="00C3361A" w:rsidRDefault="00C3361A" w:rsidP="00A474A0">
            <w:pPr>
              <w:jc w:val="center"/>
              <w:rPr>
                <w:rFonts w:ascii="Calibri" w:hAnsi="Calibri" w:cs="Calibri"/>
                <w:sz w:val="20"/>
                <w:szCs w:val="20"/>
              </w:rPr>
            </w:pPr>
          </w:p>
          <w:p w:rsidR="00C3361A"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rPr>
                <w:rFonts w:ascii="Calibri" w:hAnsi="Calibri" w:cs="Calibri"/>
                <w:b/>
                <w:sz w:val="20"/>
                <w:szCs w:val="20"/>
              </w:rPr>
            </w:pPr>
            <w:r w:rsidRPr="00357F23">
              <w:rPr>
                <w:rFonts w:ascii="Calibri" w:hAnsi="Calibri" w:cs="Calibri"/>
                <w:sz w:val="20"/>
                <w:szCs w:val="20"/>
              </w:rPr>
              <w:t xml:space="preserve">          </w:t>
            </w: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b/>
                <w:sz w:val="20"/>
                <w:szCs w:val="20"/>
              </w:rPr>
            </w:pPr>
            <w:r>
              <w:rPr>
                <w:rFonts w:ascii="Calibri" w:hAnsi="Calibri" w:cs="Calibri"/>
                <w:b/>
                <w:sz w:val="20"/>
                <w:szCs w:val="20"/>
              </w:rPr>
              <w:t>0</w:t>
            </w:r>
            <w:r w:rsidRPr="00357F23">
              <w:rPr>
                <w:rFonts w:ascii="Calibri" w:hAnsi="Calibri" w:cs="Calibri"/>
                <w:b/>
                <w:sz w:val="20"/>
                <w:szCs w:val="20"/>
              </w:rPr>
              <w:t xml:space="preserve">,5 </w:t>
            </w:r>
            <w:proofErr w:type="gramStart"/>
            <w:r w:rsidRPr="00357F23">
              <w:rPr>
                <w:rFonts w:ascii="Calibri" w:hAnsi="Calibri" w:cs="Calibri"/>
                <w:b/>
                <w:sz w:val="20"/>
                <w:szCs w:val="20"/>
              </w:rPr>
              <w:t>%  (</w:t>
            </w:r>
            <w:proofErr w:type="gramEnd"/>
            <w:r w:rsidRPr="00357F23">
              <w:rPr>
                <w:rFonts w:ascii="Calibri" w:hAnsi="Calibri" w:cs="Calibri"/>
                <w:b/>
                <w:sz w:val="20"/>
                <w:szCs w:val="20"/>
              </w:rPr>
              <w:t>*)</w:t>
            </w:r>
          </w:p>
          <w:p w:rsidR="00C3361A" w:rsidRPr="00357F23" w:rsidRDefault="00C3361A" w:rsidP="00A474A0">
            <w:pPr>
              <w:jc w:val="center"/>
              <w:rPr>
                <w:rFonts w:ascii="Calibri" w:hAnsi="Calibri" w:cs="Calibri"/>
                <w:sz w:val="20"/>
                <w:szCs w:val="20"/>
              </w:rPr>
            </w:pPr>
            <w:r w:rsidRPr="00357F23">
              <w:rPr>
                <w:rFonts w:ascii="Calibri" w:hAnsi="Calibri" w:cs="Calibri"/>
                <w:sz w:val="20"/>
                <w:szCs w:val="20"/>
              </w:rPr>
              <w:t xml:space="preserve"> </w:t>
            </w: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b/>
                <w:sz w:val="20"/>
                <w:szCs w:val="20"/>
              </w:rPr>
            </w:pPr>
          </w:p>
        </w:tc>
        <w:tc>
          <w:tcPr>
            <w:tcW w:w="3119" w:type="dxa"/>
            <w:vMerge w:val="restart"/>
          </w:tcPr>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Default="00C3361A" w:rsidP="00A474A0">
            <w:pPr>
              <w:rPr>
                <w:rFonts w:ascii="Calibri" w:hAnsi="Calibri" w:cs="Calibri"/>
                <w:sz w:val="20"/>
                <w:szCs w:val="20"/>
              </w:rPr>
            </w:pPr>
          </w:p>
          <w:p w:rsidR="00C3361A" w:rsidRDefault="00C3361A" w:rsidP="00A474A0">
            <w:pPr>
              <w:rPr>
                <w:rFonts w:ascii="Calibri" w:hAnsi="Calibri" w:cs="Calibri"/>
                <w:sz w:val="20"/>
                <w:szCs w:val="20"/>
              </w:rPr>
            </w:pPr>
          </w:p>
          <w:p w:rsidR="00C3361A" w:rsidRDefault="00C3361A" w:rsidP="00A474A0">
            <w:pPr>
              <w:rPr>
                <w:rFonts w:ascii="Calibri" w:hAnsi="Calibri" w:cs="Calibri"/>
                <w:sz w:val="20"/>
                <w:szCs w:val="20"/>
              </w:rPr>
            </w:pPr>
          </w:p>
          <w:p w:rsidR="00C3361A"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r w:rsidRPr="00357F23">
              <w:rPr>
                <w:rFonts w:ascii="Calibri" w:hAnsi="Calibri" w:cs="Calibri"/>
                <w:sz w:val="20"/>
                <w:szCs w:val="20"/>
              </w:rPr>
              <w:t xml:space="preserve">Ley 440 Anexo I apartado </w:t>
            </w:r>
            <w:proofErr w:type="gramStart"/>
            <w:r w:rsidRPr="00357F23">
              <w:rPr>
                <w:rFonts w:ascii="Calibri" w:hAnsi="Calibri" w:cs="Calibri"/>
                <w:sz w:val="20"/>
                <w:szCs w:val="20"/>
              </w:rPr>
              <w:t>7  a</w:t>
            </w:r>
            <w:proofErr w:type="gramEnd"/>
            <w:r w:rsidRPr="00357F23">
              <w:rPr>
                <w:rFonts w:ascii="Calibri" w:hAnsi="Calibri" w:cs="Calibri"/>
                <w:sz w:val="20"/>
                <w:szCs w:val="20"/>
              </w:rPr>
              <w:t>)</w:t>
            </w:r>
          </w:p>
          <w:p w:rsidR="00C3361A" w:rsidRPr="00357F23" w:rsidRDefault="00C3361A" w:rsidP="00A474A0">
            <w:pPr>
              <w:rPr>
                <w:rFonts w:ascii="Calibri" w:hAnsi="Calibri" w:cs="Calibri"/>
                <w:sz w:val="20"/>
                <w:szCs w:val="20"/>
              </w:rPr>
            </w:pPr>
            <w:r w:rsidRPr="00357F23">
              <w:rPr>
                <w:rFonts w:ascii="Calibri" w:hAnsi="Calibri" w:cs="Calibri"/>
                <w:sz w:val="20"/>
                <w:szCs w:val="20"/>
              </w:rPr>
              <w:t>Modificada por Ley 12</w:t>
            </w:r>
            <w:r>
              <w:rPr>
                <w:rFonts w:ascii="Calibri" w:hAnsi="Calibri" w:cs="Calibri"/>
                <w:sz w:val="20"/>
                <w:szCs w:val="20"/>
              </w:rPr>
              <w:t>55</w:t>
            </w: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p>
        </w:tc>
      </w:tr>
      <w:tr w:rsidR="00C3361A" w:rsidRPr="00357F23" w:rsidTr="00C3361A">
        <w:trPr>
          <w:trHeight w:val="695"/>
        </w:trPr>
        <w:tc>
          <w:tcPr>
            <w:tcW w:w="1101" w:type="dxa"/>
          </w:tcPr>
          <w:p w:rsidR="00C3361A" w:rsidRDefault="00C3361A" w:rsidP="00A474A0">
            <w:pPr>
              <w:jc w:val="center"/>
              <w:rPr>
                <w:rFonts w:ascii="Calibri" w:hAnsi="Calibri" w:cs="Calibri"/>
                <w:b/>
                <w:sz w:val="20"/>
                <w:szCs w:val="20"/>
              </w:rPr>
            </w:pPr>
            <w:r>
              <w:rPr>
                <w:rFonts w:ascii="Calibri" w:hAnsi="Calibri" w:cs="Calibri"/>
                <w:b/>
                <w:sz w:val="20"/>
                <w:szCs w:val="20"/>
              </w:rPr>
              <w:t>492221</w:t>
            </w:r>
          </w:p>
          <w:p w:rsidR="00C3361A" w:rsidRDefault="00C3361A" w:rsidP="00A474A0">
            <w:pPr>
              <w:jc w:val="center"/>
              <w:rPr>
                <w:rFonts w:ascii="Calibri" w:hAnsi="Calibri" w:cs="Calibri"/>
                <w:b/>
                <w:sz w:val="20"/>
                <w:szCs w:val="20"/>
              </w:rPr>
            </w:pPr>
            <w:r>
              <w:rPr>
                <w:rFonts w:ascii="Calibri" w:hAnsi="Calibri" w:cs="Calibri"/>
                <w:b/>
                <w:sz w:val="20"/>
                <w:szCs w:val="20"/>
              </w:rPr>
              <w:t>492229</w:t>
            </w:r>
          </w:p>
          <w:p w:rsidR="00C3361A" w:rsidRDefault="00C3361A" w:rsidP="00A474A0">
            <w:pPr>
              <w:jc w:val="center"/>
              <w:rPr>
                <w:rFonts w:ascii="Calibri" w:hAnsi="Calibri" w:cs="Calibri"/>
                <w:b/>
                <w:sz w:val="20"/>
                <w:szCs w:val="20"/>
              </w:rPr>
            </w:pPr>
            <w:r>
              <w:rPr>
                <w:rFonts w:ascii="Calibri" w:hAnsi="Calibri" w:cs="Calibri"/>
                <w:b/>
                <w:sz w:val="20"/>
                <w:szCs w:val="20"/>
              </w:rPr>
              <w:t>492240</w:t>
            </w:r>
          </w:p>
          <w:p w:rsidR="00C3361A" w:rsidRPr="00357F23" w:rsidRDefault="00C3361A" w:rsidP="00A474A0">
            <w:pPr>
              <w:jc w:val="center"/>
              <w:rPr>
                <w:rFonts w:ascii="Calibri" w:hAnsi="Calibri" w:cs="Calibri"/>
                <w:b/>
                <w:sz w:val="20"/>
                <w:szCs w:val="20"/>
              </w:rPr>
            </w:pPr>
          </w:p>
        </w:tc>
        <w:tc>
          <w:tcPr>
            <w:tcW w:w="1134" w:type="dxa"/>
          </w:tcPr>
          <w:p w:rsidR="00C3361A" w:rsidRDefault="00C3361A" w:rsidP="00A474A0">
            <w:pPr>
              <w:jc w:val="center"/>
              <w:rPr>
                <w:rFonts w:ascii="Calibri" w:hAnsi="Calibri" w:cs="Calibri"/>
                <w:sz w:val="20"/>
                <w:szCs w:val="20"/>
              </w:rPr>
            </w:pPr>
          </w:p>
          <w:p w:rsidR="00C3361A" w:rsidRPr="00395B2A" w:rsidRDefault="00C3361A" w:rsidP="00A474A0">
            <w:pPr>
              <w:jc w:val="center"/>
              <w:rPr>
                <w:rFonts w:ascii="Calibri" w:hAnsi="Calibri" w:cs="Calibri"/>
                <w:b/>
                <w:sz w:val="20"/>
                <w:szCs w:val="20"/>
              </w:rPr>
            </w:pPr>
            <w:r w:rsidRPr="00395B2A">
              <w:rPr>
                <w:rFonts w:ascii="Calibri" w:hAnsi="Calibri" w:cs="Calibri"/>
                <w:b/>
                <w:sz w:val="20"/>
                <w:szCs w:val="20"/>
              </w:rPr>
              <w:t>602120</w:t>
            </w:r>
          </w:p>
        </w:tc>
        <w:tc>
          <w:tcPr>
            <w:tcW w:w="4394" w:type="dxa"/>
          </w:tcPr>
          <w:p w:rsidR="00C3361A" w:rsidRDefault="00C3361A" w:rsidP="00A474A0">
            <w:pPr>
              <w:rPr>
                <w:rFonts w:ascii="Calibri" w:hAnsi="Calibri" w:cs="Calibri"/>
                <w:b/>
                <w:color w:val="000000"/>
                <w:sz w:val="20"/>
                <w:szCs w:val="20"/>
                <w:shd w:val="clear" w:color="auto" w:fill="FFFFFF"/>
              </w:rPr>
            </w:pPr>
          </w:p>
          <w:p w:rsidR="00C3361A" w:rsidRPr="00357F23" w:rsidRDefault="00C3361A" w:rsidP="00A474A0">
            <w:pPr>
              <w:rPr>
                <w:rFonts w:ascii="Calibri" w:hAnsi="Calibri" w:cs="Calibri"/>
                <w:b/>
                <w:sz w:val="20"/>
                <w:szCs w:val="20"/>
              </w:rPr>
            </w:pPr>
            <w:r w:rsidRPr="00357F23">
              <w:rPr>
                <w:rFonts w:ascii="Calibri" w:hAnsi="Calibri" w:cs="Calibri"/>
                <w:b/>
                <w:color w:val="000000"/>
                <w:sz w:val="20"/>
                <w:szCs w:val="20"/>
                <w:shd w:val="clear" w:color="auto" w:fill="FFFFFF"/>
              </w:rPr>
              <w:t>Servicio de transporte de mercaderías a granel incluido el transporte por camión cisterna</w:t>
            </w:r>
            <w:r>
              <w:rPr>
                <w:rFonts w:ascii="Calibri" w:hAnsi="Calibri" w:cs="Calibri"/>
                <w:b/>
                <w:color w:val="000000"/>
                <w:sz w:val="20"/>
                <w:szCs w:val="20"/>
                <w:shd w:val="clear" w:color="auto" w:fill="FFFFFF"/>
              </w:rPr>
              <w:t>.</w:t>
            </w: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5"/>
        </w:trPr>
        <w:tc>
          <w:tcPr>
            <w:tcW w:w="1101" w:type="dxa"/>
          </w:tcPr>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Pr>
                <w:rFonts w:ascii="Calibri" w:hAnsi="Calibri" w:cs="Calibri"/>
                <w:b/>
                <w:sz w:val="20"/>
                <w:szCs w:val="20"/>
              </w:rPr>
              <w:t>492230</w:t>
            </w:r>
          </w:p>
        </w:tc>
        <w:tc>
          <w:tcPr>
            <w:tcW w:w="1134" w:type="dxa"/>
          </w:tcPr>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602130</w:t>
            </w:r>
          </w:p>
        </w:tc>
        <w:tc>
          <w:tcPr>
            <w:tcW w:w="4394" w:type="dxa"/>
          </w:tcPr>
          <w:p w:rsidR="00C3361A" w:rsidRPr="00357F23" w:rsidRDefault="00C3361A" w:rsidP="00A474A0">
            <w:pPr>
              <w:rPr>
                <w:rFonts w:ascii="Calibri" w:hAnsi="Calibri" w:cs="Calibri"/>
                <w:b/>
                <w:sz w:val="20"/>
                <w:szCs w:val="20"/>
              </w:rPr>
            </w:pPr>
            <w:r w:rsidRPr="00357F23">
              <w:rPr>
                <w:rFonts w:ascii="Calibri" w:hAnsi="Calibri" w:cs="Calibri"/>
                <w:b/>
                <w:color w:val="000000"/>
                <w:sz w:val="20"/>
                <w:szCs w:val="20"/>
                <w:shd w:val="clear" w:color="auto" w:fill="FFFFFF"/>
              </w:rPr>
              <w:t>Servicio de transporte de animales</w:t>
            </w: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5"/>
        </w:trPr>
        <w:tc>
          <w:tcPr>
            <w:tcW w:w="1101" w:type="dxa"/>
          </w:tcPr>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Pr>
                <w:rFonts w:ascii="Calibri" w:hAnsi="Calibri" w:cs="Calibri"/>
                <w:b/>
                <w:sz w:val="20"/>
                <w:szCs w:val="20"/>
              </w:rPr>
              <w:t>492280</w:t>
            </w:r>
          </w:p>
        </w:tc>
        <w:tc>
          <w:tcPr>
            <w:tcW w:w="1134" w:type="dxa"/>
          </w:tcPr>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602180</w:t>
            </w:r>
          </w:p>
        </w:tc>
        <w:tc>
          <w:tcPr>
            <w:tcW w:w="4394" w:type="dxa"/>
          </w:tcPr>
          <w:p w:rsidR="00C3361A" w:rsidRPr="00357F23" w:rsidRDefault="00C3361A" w:rsidP="00A474A0">
            <w:pPr>
              <w:rPr>
                <w:rFonts w:ascii="Calibri" w:hAnsi="Calibri" w:cs="Calibri"/>
                <w:b/>
                <w:sz w:val="20"/>
                <w:szCs w:val="20"/>
              </w:rPr>
            </w:pPr>
            <w:r w:rsidRPr="00357F23">
              <w:rPr>
                <w:rFonts w:ascii="Calibri" w:hAnsi="Calibri" w:cs="Calibri"/>
                <w:b/>
                <w:color w:val="000000"/>
                <w:sz w:val="20"/>
                <w:szCs w:val="20"/>
                <w:shd w:val="clear" w:color="auto" w:fill="FFFFFF"/>
              </w:rPr>
              <w:t xml:space="preserve">Servicio de transporte urbano de carga </w:t>
            </w:r>
            <w:proofErr w:type="spellStart"/>
            <w:r w:rsidRPr="00357F23">
              <w:rPr>
                <w:rFonts w:ascii="Calibri" w:hAnsi="Calibri" w:cs="Calibri"/>
                <w:b/>
                <w:color w:val="000000"/>
                <w:sz w:val="20"/>
                <w:szCs w:val="20"/>
                <w:shd w:val="clear" w:color="auto" w:fill="FFFFFF"/>
              </w:rPr>
              <w:t>n.c.p</w:t>
            </w:r>
            <w:proofErr w:type="spellEnd"/>
            <w:r w:rsidRPr="00357F23">
              <w:rPr>
                <w:rFonts w:ascii="Calibri" w:hAnsi="Calibri" w:cs="Calibri"/>
                <w:b/>
                <w:color w:val="000000"/>
                <w:sz w:val="20"/>
                <w:szCs w:val="20"/>
                <w:shd w:val="clear" w:color="auto" w:fill="FFFFFF"/>
              </w:rPr>
              <w:t>.</w:t>
            </w:r>
          </w:p>
          <w:p w:rsidR="00C3361A" w:rsidRPr="00357F23" w:rsidRDefault="00C3361A" w:rsidP="00A474A0">
            <w:pPr>
              <w:rPr>
                <w:rFonts w:ascii="Calibri" w:hAnsi="Calibri" w:cs="Calibri"/>
                <w:b/>
                <w:sz w:val="20"/>
                <w:szCs w:val="20"/>
              </w:rPr>
            </w:pP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0"/>
        </w:trPr>
        <w:tc>
          <w:tcPr>
            <w:tcW w:w="1101" w:type="dxa"/>
          </w:tcPr>
          <w:p w:rsidR="00C3361A" w:rsidRDefault="00C3361A" w:rsidP="00A474A0">
            <w:pPr>
              <w:jc w:val="center"/>
              <w:rPr>
                <w:rFonts w:ascii="Calibri" w:hAnsi="Calibri" w:cs="Calibri"/>
                <w:b/>
                <w:sz w:val="20"/>
                <w:szCs w:val="20"/>
              </w:rPr>
            </w:pPr>
            <w:r>
              <w:rPr>
                <w:rFonts w:ascii="Calibri" w:hAnsi="Calibri" w:cs="Calibri"/>
                <w:b/>
                <w:sz w:val="20"/>
                <w:szCs w:val="20"/>
              </w:rPr>
              <w:t>492250</w:t>
            </w:r>
          </w:p>
          <w:p w:rsidR="00C3361A" w:rsidRDefault="00C3361A" w:rsidP="00A474A0">
            <w:pPr>
              <w:jc w:val="center"/>
              <w:rPr>
                <w:rFonts w:ascii="Calibri" w:hAnsi="Calibri" w:cs="Calibri"/>
                <w:b/>
                <w:sz w:val="20"/>
                <w:szCs w:val="20"/>
              </w:rPr>
            </w:pPr>
            <w:r>
              <w:rPr>
                <w:rFonts w:ascii="Calibri" w:hAnsi="Calibri" w:cs="Calibri"/>
                <w:b/>
                <w:sz w:val="20"/>
                <w:szCs w:val="20"/>
              </w:rPr>
              <w:t>492291</w:t>
            </w:r>
          </w:p>
          <w:p w:rsidR="00C3361A" w:rsidRPr="00357F23" w:rsidRDefault="00C3361A" w:rsidP="00A474A0">
            <w:pPr>
              <w:jc w:val="center"/>
              <w:rPr>
                <w:rFonts w:ascii="Calibri" w:hAnsi="Calibri" w:cs="Calibri"/>
                <w:b/>
                <w:sz w:val="20"/>
                <w:szCs w:val="20"/>
              </w:rPr>
            </w:pPr>
            <w:r>
              <w:rPr>
                <w:rFonts w:ascii="Calibri" w:hAnsi="Calibri" w:cs="Calibri"/>
                <w:b/>
                <w:sz w:val="20"/>
                <w:szCs w:val="20"/>
              </w:rPr>
              <w:t>492299</w:t>
            </w:r>
          </w:p>
          <w:p w:rsidR="00C3361A" w:rsidRPr="00357F23" w:rsidRDefault="00C3361A" w:rsidP="00A474A0">
            <w:pPr>
              <w:jc w:val="center"/>
              <w:rPr>
                <w:rFonts w:ascii="Calibri" w:hAnsi="Calibri" w:cs="Calibri"/>
                <w:sz w:val="20"/>
                <w:szCs w:val="20"/>
              </w:rPr>
            </w:pPr>
          </w:p>
        </w:tc>
        <w:tc>
          <w:tcPr>
            <w:tcW w:w="1134" w:type="dxa"/>
          </w:tcPr>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602190</w:t>
            </w:r>
          </w:p>
          <w:p w:rsidR="00C3361A" w:rsidRPr="00357F23" w:rsidRDefault="00C3361A" w:rsidP="00A474A0">
            <w:pPr>
              <w:jc w:val="center"/>
              <w:rPr>
                <w:rFonts w:ascii="Calibri" w:hAnsi="Calibri" w:cs="Calibri"/>
                <w:sz w:val="20"/>
                <w:szCs w:val="20"/>
              </w:rPr>
            </w:pPr>
          </w:p>
        </w:tc>
        <w:tc>
          <w:tcPr>
            <w:tcW w:w="4394" w:type="dxa"/>
          </w:tcPr>
          <w:p w:rsidR="00C3361A" w:rsidRPr="00357F23" w:rsidRDefault="00C3361A" w:rsidP="00A474A0">
            <w:pPr>
              <w:pStyle w:val="tablaizquierda8"/>
              <w:ind w:left="105" w:right="105"/>
              <w:rPr>
                <w:rFonts w:ascii="Calibri" w:hAnsi="Calibri" w:cs="Calibri"/>
                <w:b/>
                <w:color w:val="000000"/>
                <w:sz w:val="20"/>
                <w:szCs w:val="20"/>
              </w:rPr>
            </w:pPr>
            <w:r w:rsidRPr="00357F23">
              <w:rPr>
                <w:rFonts w:ascii="Calibri" w:hAnsi="Calibri" w:cs="Calibri"/>
                <w:b/>
                <w:color w:val="000000"/>
                <w:sz w:val="20"/>
                <w:szCs w:val="20"/>
              </w:rPr>
              <w:br/>
              <w:t xml:space="preserve">Transporte automotor de cargas </w:t>
            </w:r>
            <w:proofErr w:type="spellStart"/>
            <w:r w:rsidRPr="00357F23">
              <w:rPr>
                <w:rFonts w:ascii="Calibri" w:hAnsi="Calibri" w:cs="Calibri"/>
                <w:b/>
                <w:color w:val="000000"/>
                <w:sz w:val="20"/>
                <w:szCs w:val="20"/>
              </w:rPr>
              <w:t>n.c.p</w:t>
            </w:r>
            <w:proofErr w:type="spellEnd"/>
            <w:r w:rsidRPr="00357F23">
              <w:rPr>
                <w:rFonts w:ascii="Calibri" w:hAnsi="Calibri" w:cs="Calibri"/>
                <w:b/>
                <w:color w:val="000000"/>
                <w:sz w:val="20"/>
                <w:szCs w:val="20"/>
              </w:rPr>
              <w:t>.</w:t>
            </w:r>
          </w:p>
          <w:p w:rsidR="00C3361A" w:rsidRPr="00357F23" w:rsidRDefault="00C3361A" w:rsidP="00A474A0">
            <w:pPr>
              <w:rPr>
                <w:rFonts w:ascii="Calibri" w:hAnsi="Calibri" w:cs="Calibri"/>
                <w:b/>
                <w:sz w:val="20"/>
                <w:szCs w:val="20"/>
                <w:lang w:val="es-AR"/>
              </w:rPr>
            </w:pPr>
          </w:p>
        </w:tc>
        <w:tc>
          <w:tcPr>
            <w:tcW w:w="1559" w:type="dxa"/>
            <w:vMerge/>
          </w:tcPr>
          <w:p w:rsidR="00C3361A" w:rsidRPr="00357F23" w:rsidRDefault="00C3361A" w:rsidP="00A474A0">
            <w:pPr>
              <w:jc w:val="center"/>
              <w:rPr>
                <w:rFonts w:ascii="Calibri" w:hAnsi="Calibri" w:cs="Calibri"/>
                <w:b/>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0"/>
        </w:trPr>
        <w:tc>
          <w:tcPr>
            <w:tcW w:w="1101" w:type="dxa"/>
          </w:tcPr>
          <w:p w:rsidR="00C3361A" w:rsidRPr="00357F23" w:rsidRDefault="00C3361A" w:rsidP="00A474A0">
            <w:pPr>
              <w:jc w:val="center"/>
              <w:rPr>
                <w:rFonts w:ascii="Calibri" w:hAnsi="Calibri" w:cs="Calibri"/>
                <w:b/>
                <w:sz w:val="20"/>
                <w:szCs w:val="20"/>
              </w:rPr>
            </w:pPr>
            <w:r>
              <w:rPr>
                <w:rFonts w:ascii="Calibri" w:hAnsi="Calibri" w:cs="Calibri"/>
                <w:b/>
                <w:sz w:val="20"/>
                <w:szCs w:val="20"/>
              </w:rPr>
              <w:t>492299</w:t>
            </w:r>
          </w:p>
        </w:tc>
        <w:tc>
          <w:tcPr>
            <w:tcW w:w="1134" w:type="dxa"/>
          </w:tcPr>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602191</w:t>
            </w:r>
          </w:p>
        </w:tc>
        <w:tc>
          <w:tcPr>
            <w:tcW w:w="4394" w:type="dxa"/>
          </w:tcPr>
          <w:p w:rsidR="00C3361A" w:rsidRPr="00357F23" w:rsidRDefault="00C3361A" w:rsidP="00A474A0">
            <w:pPr>
              <w:rPr>
                <w:rFonts w:ascii="Calibri" w:hAnsi="Calibri" w:cs="Calibri"/>
                <w:b/>
                <w:sz w:val="20"/>
                <w:szCs w:val="20"/>
              </w:rPr>
            </w:pPr>
            <w:r w:rsidRPr="00357F23">
              <w:rPr>
                <w:rFonts w:ascii="Calibri" w:hAnsi="Calibri" w:cs="Calibri"/>
                <w:b/>
                <w:sz w:val="20"/>
                <w:szCs w:val="20"/>
              </w:rPr>
              <w:t>Transporte de cargas de corta, media y larga distancia</w:t>
            </w: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435"/>
        </w:trPr>
        <w:tc>
          <w:tcPr>
            <w:tcW w:w="1101" w:type="dxa"/>
          </w:tcPr>
          <w:p w:rsidR="00C3361A" w:rsidRDefault="00C3361A" w:rsidP="00A474A0">
            <w:pPr>
              <w:jc w:val="center"/>
              <w:rPr>
                <w:rFonts w:ascii="Calibri" w:hAnsi="Calibri" w:cs="Calibri"/>
                <w:b/>
                <w:sz w:val="20"/>
                <w:szCs w:val="20"/>
              </w:rPr>
            </w:pPr>
          </w:p>
          <w:p w:rsidR="00C3361A" w:rsidRDefault="00C3361A" w:rsidP="00A474A0">
            <w:pPr>
              <w:jc w:val="center"/>
              <w:rPr>
                <w:rFonts w:ascii="Calibri" w:hAnsi="Calibri" w:cs="Calibri"/>
                <w:b/>
                <w:sz w:val="20"/>
                <w:szCs w:val="20"/>
              </w:rPr>
            </w:pPr>
            <w:r>
              <w:rPr>
                <w:rFonts w:ascii="Calibri" w:hAnsi="Calibri" w:cs="Calibri"/>
                <w:b/>
                <w:sz w:val="20"/>
                <w:szCs w:val="20"/>
              </w:rPr>
              <w:t>521010</w:t>
            </w:r>
          </w:p>
          <w:p w:rsidR="00C3361A" w:rsidRPr="00357F23" w:rsidRDefault="00C3361A" w:rsidP="00A474A0">
            <w:pPr>
              <w:jc w:val="center"/>
              <w:rPr>
                <w:rFonts w:ascii="Calibri" w:hAnsi="Calibri" w:cs="Calibri"/>
                <w:b/>
                <w:sz w:val="20"/>
                <w:szCs w:val="20"/>
              </w:rPr>
            </w:pPr>
          </w:p>
        </w:tc>
        <w:tc>
          <w:tcPr>
            <w:tcW w:w="1134" w:type="dxa"/>
          </w:tcPr>
          <w:p w:rsidR="00C3361A"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631000</w:t>
            </w:r>
          </w:p>
        </w:tc>
        <w:tc>
          <w:tcPr>
            <w:tcW w:w="4394" w:type="dxa"/>
          </w:tcPr>
          <w:p w:rsidR="00C3361A" w:rsidRDefault="00C3361A" w:rsidP="00A474A0">
            <w:pPr>
              <w:rPr>
                <w:rFonts w:ascii="Calibri" w:hAnsi="Calibri" w:cs="Calibri"/>
                <w:b/>
                <w:color w:val="000000"/>
                <w:sz w:val="20"/>
                <w:szCs w:val="20"/>
                <w:shd w:val="clear" w:color="auto" w:fill="FFFFFF"/>
              </w:rPr>
            </w:pPr>
          </w:p>
          <w:p w:rsidR="00C3361A" w:rsidRPr="00357F23" w:rsidRDefault="00C3361A" w:rsidP="00A474A0">
            <w:pPr>
              <w:rPr>
                <w:rFonts w:ascii="Calibri" w:hAnsi="Calibri" w:cs="Calibri"/>
                <w:b/>
                <w:sz w:val="20"/>
                <w:szCs w:val="20"/>
              </w:rPr>
            </w:pPr>
            <w:r w:rsidRPr="00357F23">
              <w:rPr>
                <w:rFonts w:ascii="Calibri" w:hAnsi="Calibri" w:cs="Calibri"/>
                <w:b/>
                <w:color w:val="000000"/>
                <w:sz w:val="20"/>
                <w:szCs w:val="20"/>
                <w:shd w:val="clear" w:color="auto" w:fill="FFFFFF"/>
              </w:rPr>
              <w:t>Servicio de manipulación de carga</w:t>
            </w:r>
          </w:p>
          <w:p w:rsidR="00C3361A" w:rsidRPr="00357F23" w:rsidRDefault="00C3361A" w:rsidP="00A474A0">
            <w:pPr>
              <w:rPr>
                <w:rFonts w:ascii="Calibri" w:hAnsi="Calibri" w:cs="Calibri"/>
                <w:b/>
                <w:sz w:val="20"/>
                <w:szCs w:val="20"/>
              </w:rPr>
            </w:pP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0"/>
        </w:trPr>
        <w:tc>
          <w:tcPr>
            <w:tcW w:w="1101" w:type="dxa"/>
          </w:tcPr>
          <w:p w:rsidR="00C3361A" w:rsidRDefault="00C3361A" w:rsidP="00A474A0">
            <w:pPr>
              <w:jc w:val="center"/>
              <w:rPr>
                <w:rFonts w:ascii="Calibri" w:hAnsi="Calibri" w:cs="Calibri"/>
                <w:b/>
                <w:sz w:val="20"/>
                <w:szCs w:val="20"/>
              </w:rPr>
            </w:pPr>
            <w:r>
              <w:rPr>
                <w:rFonts w:ascii="Calibri" w:hAnsi="Calibri" w:cs="Calibri"/>
                <w:b/>
                <w:sz w:val="20"/>
                <w:szCs w:val="20"/>
              </w:rPr>
              <w:t>522010</w:t>
            </w:r>
          </w:p>
          <w:p w:rsidR="00C3361A" w:rsidRDefault="00C3361A" w:rsidP="00A474A0">
            <w:pPr>
              <w:jc w:val="center"/>
              <w:rPr>
                <w:rFonts w:ascii="Calibri" w:hAnsi="Calibri" w:cs="Calibri"/>
                <w:b/>
                <w:sz w:val="20"/>
                <w:szCs w:val="20"/>
              </w:rPr>
            </w:pPr>
            <w:r>
              <w:rPr>
                <w:rFonts w:ascii="Calibri" w:hAnsi="Calibri" w:cs="Calibri"/>
                <w:b/>
                <w:sz w:val="20"/>
                <w:szCs w:val="20"/>
              </w:rPr>
              <w:t>522020</w:t>
            </w:r>
          </w:p>
          <w:p w:rsidR="00C3361A" w:rsidRDefault="00C3361A" w:rsidP="00A474A0">
            <w:pPr>
              <w:jc w:val="center"/>
              <w:rPr>
                <w:rFonts w:ascii="Calibri" w:hAnsi="Calibri" w:cs="Calibri"/>
                <w:b/>
                <w:sz w:val="20"/>
                <w:szCs w:val="20"/>
              </w:rPr>
            </w:pPr>
            <w:r>
              <w:rPr>
                <w:rFonts w:ascii="Calibri" w:hAnsi="Calibri" w:cs="Calibri"/>
                <w:b/>
                <w:sz w:val="20"/>
                <w:szCs w:val="20"/>
              </w:rPr>
              <w:t>522092</w:t>
            </w:r>
          </w:p>
          <w:p w:rsidR="00C3361A" w:rsidRPr="00357F23" w:rsidRDefault="00C3361A" w:rsidP="00A474A0">
            <w:pPr>
              <w:jc w:val="center"/>
              <w:rPr>
                <w:rFonts w:ascii="Calibri" w:hAnsi="Calibri" w:cs="Calibri"/>
                <w:b/>
                <w:sz w:val="20"/>
                <w:szCs w:val="20"/>
              </w:rPr>
            </w:pPr>
            <w:r>
              <w:rPr>
                <w:rFonts w:ascii="Calibri" w:hAnsi="Calibri" w:cs="Calibri"/>
                <w:b/>
                <w:sz w:val="20"/>
                <w:szCs w:val="20"/>
              </w:rPr>
              <w:t>522099</w:t>
            </w:r>
          </w:p>
        </w:tc>
        <w:tc>
          <w:tcPr>
            <w:tcW w:w="1134" w:type="dxa"/>
          </w:tcPr>
          <w:p w:rsidR="00C3361A"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632000</w:t>
            </w:r>
          </w:p>
        </w:tc>
        <w:tc>
          <w:tcPr>
            <w:tcW w:w="4394" w:type="dxa"/>
          </w:tcPr>
          <w:p w:rsidR="00C3361A" w:rsidRDefault="00C3361A" w:rsidP="00A474A0">
            <w:pPr>
              <w:rPr>
                <w:rFonts w:ascii="Calibri" w:hAnsi="Calibri" w:cs="Calibri"/>
                <w:b/>
                <w:color w:val="000000"/>
                <w:sz w:val="20"/>
                <w:szCs w:val="20"/>
                <w:shd w:val="clear" w:color="auto" w:fill="FFFFFF"/>
              </w:rPr>
            </w:pPr>
          </w:p>
          <w:p w:rsidR="00C3361A" w:rsidRDefault="00C3361A" w:rsidP="00A474A0">
            <w:pPr>
              <w:rPr>
                <w:rFonts w:ascii="Calibri" w:hAnsi="Calibri" w:cs="Calibri"/>
                <w:b/>
                <w:color w:val="000000"/>
                <w:sz w:val="20"/>
                <w:szCs w:val="20"/>
                <w:shd w:val="clear" w:color="auto" w:fill="FFFFFF"/>
              </w:rPr>
            </w:pPr>
          </w:p>
          <w:p w:rsidR="00C3361A" w:rsidRPr="00357F23" w:rsidRDefault="00C3361A" w:rsidP="00A474A0">
            <w:pPr>
              <w:rPr>
                <w:rFonts w:ascii="Calibri" w:hAnsi="Calibri" w:cs="Calibri"/>
                <w:b/>
                <w:sz w:val="20"/>
                <w:szCs w:val="20"/>
              </w:rPr>
            </w:pPr>
            <w:r w:rsidRPr="00357F23">
              <w:rPr>
                <w:rFonts w:ascii="Calibri" w:hAnsi="Calibri" w:cs="Calibri"/>
                <w:b/>
                <w:color w:val="000000"/>
                <w:sz w:val="20"/>
                <w:szCs w:val="20"/>
                <w:shd w:val="clear" w:color="auto" w:fill="FFFFFF"/>
              </w:rPr>
              <w:t>Servicios de almacenamiento y depósito</w:t>
            </w:r>
          </w:p>
        </w:tc>
        <w:tc>
          <w:tcPr>
            <w:tcW w:w="1559" w:type="dxa"/>
            <w:vMerge/>
          </w:tcPr>
          <w:p w:rsidR="00C3361A" w:rsidRPr="00357F23" w:rsidRDefault="00C3361A" w:rsidP="00A474A0">
            <w:pPr>
              <w:jc w:val="center"/>
              <w:rPr>
                <w:rFonts w:ascii="Calibri" w:hAnsi="Calibri" w:cs="Calibri"/>
                <w:b/>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0"/>
        </w:trPr>
        <w:tc>
          <w:tcPr>
            <w:tcW w:w="1101" w:type="dxa"/>
          </w:tcPr>
          <w:p w:rsidR="00C3361A" w:rsidRDefault="00C3361A" w:rsidP="00A474A0">
            <w:pPr>
              <w:jc w:val="center"/>
              <w:rPr>
                <w:rFonts w:ascii="Calibri" w:hAnsi="Calibri" w:cs="Calibri"/>
                <w:b/>
                <w:sz w:val="20"/>
                <w:szCs w:val="20"/>
              </w:rPr>
            </w:pPr>
            <w:r>
              <w:rPr>
                <w:rFonts w:ascii="Calibri" w:hAnsi="Calibri" w:cs="Calibri"/>
                <w:b/>
                <w:sz w:val="20"/>
                <w:szCs w:val="20"/>
              </w:rPr>
              <w:t>522091</w:t>
            </w:r>
          </w:p>
          <w:p w:rsidR="00C3361A" w:rsidRDefault="00C3361A" w:rsidP="00A474A0">
            <w:pPr>
              <w:jc w:val="center"/>
              <w:rPr>
                <w:rFonts w:ascii="Calibri" w:hAnsi="Calibri" w:cs="Calibri"/>
                <w:b/>
                <w:sz w:val="20"/>
                <w:szCs w:val="20"/>
              </w:rPr>
            </w:pPr>
            <w:r>
              <w:rPr>
                <w:rFonts w:ascii="Calibri" w:hAnsi="Calibri" w:cs="Calibri"/>
                <w:b/>
                <w:sz w:val="20"/>
                <w:szCs w:val="20"/>
              </w:rPr>
              <w:t>523032</w:t>
            </w:r>
          </w:p>
          <w:p w:rsidR="00C3361A" w:rsidRDefault="00C3361A" w:rsidP="00A474A0">
            <w:pPr>
              <w:jc w:val="center"/>
              <w:rPr>
                <w:rFonts w:ascii="Calibri" w:hAnsi="Calibri" w:cs="Calibri"/>
                <w:b/>
                <w:sz w:val="20"/>
                <w:szCs w:val="20"/>
              </w:rPr>
            </w:pPr>
            <w:r>
              <w:rPr>
                <w:rFonts w:ascii="Calibri" w:hAnsi="Calibri" w:cs="Calibri"/>
                <w:b/>
                <w:sz w:val="20"/>
                <w:szCs w:val="20"/>
              </w:rPr>
              <w:t>523039</w:t>
            </w:r>
          </w:p>
          <w:p w:rsidR="00C3361A" w:rsidRPr="00357F23" w:rsidRDefault="00C3361A" w:rsidP="00A474A0">
            <w:pPr>
              <w:jc w:val="center"/>
              <w:rPr>
                <w:rFonts w:ascii="Calibri" w:hAnsi="Calibri" w:cs="Calibri"/>
                <w:b/>
                <w:sz w:val="20"/>
                <w:szCs w:val="20"/>
              </w:rPr>
            </w:pPr>
            <w:r>
              <w:rPr>
                <w:rFonts w:ascii="Calibri" w:hAnsi="Calibri" w:cs="Calibri"/>
                <w:b/>
                <w:sz w:val="20"/>
                <w:szCs w:val="20"/>
              </w:rPr>
              <w:t>523090</w:t>
            </w:r>
          </w:p>
        </w:tc>
        <w:tc>
          <w:tcPr>
            <w:tcW w:w="1134" w:type="dxa"/>
          </w:tcPr>
          <w:p w:rsidR="00C3361A"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635000</w:t>
            </w:r>
          </w:p>
        </w:tc>
        <w:tc>
          <w:tcPr>
            <w:tcW w:w="4394" w:type="dxa"/>
          </w:tcPr>
          <w:p w:rsidR="00C3361A" w:rsidRDefault="00C3361A" w:rsidP="00A474A0">
            <w:pPr>
              <w:rPr>
                <w:rFonts w:ascii="Calibri" w:hAnsi="Calibri" w:cs="Calibri"/>
                <w:b/>
                <w:sz w:val="20"/>
                <w:szCs w:val="20"/>
              </w:rPr>
            </w:pPr>
          </w:p>
          <w:p w:rsidR="00C3361A" w:rsidRPr="00357F23" w:rsidRDefault="00C3361A" w:rsidP="00A474A0">
            <w:pPr>
              <w:rPr>
                <w:rFonts w:ascii="Calibri" w:hAnsi="Calibri" w:cs="Calibri"/>
                <w:b/>
                <w:sz w:val="20"/>
                <w:szCs w:val="20"/>
              </w:rPr>
            </w:pPr>
            <w:r w:rsidRPr="00357F23">
              <w:rPr>
                <w:rFonts w:ascii="Calibri" w:hAnsi="Calibri" w:cs="Calibri"/>
                <w:b/>
                <w:sz w:val="20"/>
                <w:szCs w:val="20"/>
              </w:rPr>
              <w:t>Servicio de gestión y logística para el transporte de mercaderías.</w:t>
            </w: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545"/>
        </w:trPr>
        <w:tc>
          <w:tcPr>
            <w:tcW w:w="1101" w:type="dxa"/>
          </w:tcPr>
          <w:p w:rsidR="00C3361A" w:rsidRDefault="00C3361A" w:rsidP="00A474A0">
            <w:pPr>
              <w:jc w:val="center"/>
              <w:rPr>
                <w:rFonts w:ascii="Calibri" w:hAnsi="Calibri" w:cs="Calibri"/>
                <w:b/>
                <w:sz w:val="20"/>
                <w:szCs w:val="20"/>
              </w:rPr>
            </w:pPr>
            <w:r>
              <w:rPr>
                <w:rFonts w:ascii="Calibri" w:hAnsi="Calibri" w:cs="Calibri"/>
                <w:b/>
                <w:sz w:val="20"/>
                <w:szCs w:val="20"/>
              </w:rPr>
              <w:t>530010</w:t>
            </w:r>
          </w:p>
          <w:p w:rsidR="00C3361A" w:rsidRPr="00357F23" w:rsidRDefault="00C3361A" w:rsidP="00A474A0">
            <w:pPr>
              <w:jc w:val="center"/>
              <w:rPr>
                <w:rFonts w:ascii="Calibri" w:hAnsi="Calibri" w:cs="Calibri"/>
                <w:b/>
                <w:sz w:val="20"/>
                <w:szCs w:val="20"/>
              </w:rPr>
            </w:pPr>
            <w:r>
              <w:rPr>
                <w:rFonts w:ascii="Calibri" w:hAnsi="Calibri" w:cs="Calibri"/>
                <w:b/>
                <w:sz w:val="20"/>
                <w:szCs w:val="20"/>
              </w:rPr>
              <w:t>530090</w:t>
            </w:r>
          </w:p>
        </w:tc>
        <w:tc>
          <w:tcPr>
            <w:tcW w:w="1134" w:type="dxa"/>
          </w:tcPr>
          <w:p w:rsidR="00C3361A"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Pr>
                <w:rFonts w:ascii="Calibri" w:hAnsi="Calibri" w:cs="Calibri"/>
                <w:b/>
                <w:sz w:val="20"/>
                <w:szCs w:val="20"/>
              </w:rPr>
              <w:t>641000</w:t>
            </w:r>
          </w:p>
        </w:tc>
        <w:tc>
          <w:tcPr>
            <w:tcW w:w="4394" w:type="dxa"/>
          </w:tcPr>
          <w:p w:rsidR="00C3361A" w:rsidRDefault="00C3361A" w:rsidP="00A474A0">
            <w:pPr>
              <w:rPr>
                <w:rFonts w:ascii="Calibri" w:hAnsi="Calibri" w:cs="Calibri"/>
                <w:b/>
                <w:sz w:val="20"/>
                <w:szCs w:val="20"/>
              </w:rPr>
            </w:pPr>
          </w:p>
          <w:p w:rsidR="00C3361A" w:rsidRPr="00357F23" w:rsidRDefault="00C3361A" w:rsidP="00A474A0">
            <w:pPr>
              <w:rPr>
                <w:rFonts w:ascii="Calibri" w:hAnsi="Calibri" w:cs="Calibri"/>
                <w:b/>
                <w:sz w:val="20"/>
                <w:szCs w:val="20"/>
              </w:rPr>
            </w:pPr>
            <w:r w:rsidRPr="00357F23">
              <w:rPr>
                <w:rFonts w:ascii="Calibri" w:hAnsi="Calibri" w:cs="Calibri"/>
                <w:b/>
                <w:sz w:val="20"/>
                <w:szCs w:val="20"/>
              </w:rPr>
              <w:t>Comunicaciones por correo, telégrafo y télex.</w:t>
            </w: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r w:rsidR="00C3361A" w:rsidRPr="00357F23" w:rsidTr="00C3361A">
        <w:trPr>
          <w:trHeight w:val="656"/>
        </w:trPr>
        <w:tc>
          <w:tcPr>
            <w:tcW w:w="1101" w:type="dxa"/>
          </w:tcPr>
          <w:p w:rsidR="00C3361A" w:rsidRPr="00357F23" w:rsidRDefault="00C3361A" w:rsidP="00A474A0">
            <w:pPr>
              <w:jc w:val="center"/>
              <w:rPr>
                <w:rFonts w:ascii="Calibri" w:hAnsi="Calibri" w:cs="Calibri"/>
                <w:b/>
                <w:sz w:val="20"/>
                <w:szCs w:val="20"/>
              </w:rPr>
            </w:pPr>
            <w:r>
              <w:rPr>
                <w:rFonts w:ascii="Calibri" w:hAnsi="Calibri" w:cs="Calibri"/>
                <w:b/>
                <w:sz w:val="20"/>
                <w:szCs w:val="20"/>
              </w:rPr>
              <w:t>801010</w:t>
            </w:r>
          </w:p>
          <w:p w:rsidR="00C3361A" w:rsidRPr="00357F23" w:rsidRDefault="00C3361A" w:rsidP="00A474A0">
            <w:pPr>
              <w:jc w:val="center"/>
              <w:rPr>
                <w:rFonts w:ascii="Calibri" w:hAnsi="Calibri" w:cs="Calibri"/>
                <w:b/>
                <w:sz w:val="20"/>
                <w:szCs w:val="20"/>
              </w:rPr>
            </w:pPr>
          </w:p>
        </w:tc>
        <w:tc>
          <w:tcPr>
            <w:tcW w:w="1134" w:type="dxa"/>
          </w:tcPr>
          <w:p w:rsidR="00C3361A" w:rsidRPr="00357F23" w:rsidRDefault="00C3361A" w:rsidP="00A474A0">
            <w:pPr>
              <w:jc w:val="center"/>
              <w:rPr>
                <w:rFonts w:ascii="Calibri" w:hAnsi="Calibri" w:cs="Calibri"/>
                <w:b/>
                <w:sz w:val="20"/>
                <w:szCs w:val="20"/>
              </w:rPr>
            </w:pPr>
            <w:r>
              <w:rPr>
                <w:rFonts w:ascii="Calibri" w:hAnsi="Calibri" w:cs="Calibri"/>
                <w:b/>
                <w:sz w:val="20"/>
                <w:szCs w:val="20"/>
              </w:rPr>
              <w:t>749210</w:t>
            </w:r>
          </w:p>
        </w:tc>
        <w:tc>
          <w:tcPr>
            <w:tcW w:w="4394" w:type="dxa"/>
          </w:tcPr>
          <w:p w:rsidR="00C3361A" w:rsidRPr="00357F23" w:rsidRDefault="00C3361A" w:rsidP="00A474A0">
            <w:pPr>
              <w:rPr>
                <w:rFonts w:ascii="Calibri" w:hAnsi="Calibri" w:cs="Calibri"/>
                <w:b/>
                <w:sz w:val="20"/>
                <w:szCs w:val="20"/>
              </w:rPr>
            </w:pPr>
            <w:r w:rsidRPr="00357F23">
              <w:rPr>
                <w:rFonts w:ascii="Calibri" w:hAnsi="Calibri" w:cs="Calibri"/>
                <w:b/>
                <w:sz w:val="20"/>
                <w:szCs w:val="20"/>
              </w:rPr>
              <w:t>Transporte de valores, documentación, encomiendas y similares.</w:t>
            </w:r>
          </w:p>
        </w:tc>
        <w:tc>
          <w:tcPr>
            <w:tcW w:w="1559" w:type="dxa"/>
          </w:tcPr>
          <w:p w:rsidR="00C3361A" w:rsidRPr="00357F23" w:rsidRDefault="00C3361A" w:rsidP="00A474A0">
            <w:pPr>
              <w:jc w:val="center"/>
              <w:rPr>
                <w:rFonts w:ascii="Calibri" w:hAnsi="Calibri" w:cs="Calibri"/>
                <w:b/>
                <w:sz w:val="20"/>
                <w:szCs w:val="20"/>
              </w:rPr>
            </w:pPr>
          </w:p>
          <w:p w:rsidR="00C3361A" w:rsidRPr="00357F23" w:rsidRDefault="00C3361A" w:rsidP="00A474A0">
            <w:pPr>
              <w:jc w:val="center"/>
              <w:rPr>
                <w:rFonts w:ascii="Calibri" w:hAnsi="Calibri" w:cs="Calibri"/>
                <w:b/>
                <w:sz w:val="20"/>
                <w:szCs w:val="20"/>
              </w:rPr>
            </w:pPr>
            <w:r w:rsidRPr="00357F23">
              <w:rPr>
                <w:rFonts w:ascii="Calibri" w:hAnsi="Calibri" w:cs="Calibri"/>
                <w:b/>
                <w:sz w:val="20"/>
                <w:szCs w:val="20"/>
              </w:rPr>
              <w:t xml:space="preserve">3 </w:t>
            </w:r>
            <w:proofErr w:type="gramStart"/>
            <w:r w:rsidRPr="00357F23">
              <w:rPr>
                <w:rFonts w:ascii="Calibri" w:hAnsi="Calibri" w:cs="Calibri"/>
                <w:b/>
                <w:sz w:val="20"/>
                <w:szCs w:val="20"/>
              </w:rPr>
              <w:t>%  (</w:t>
            </w:r>
            <w:proofErr w:type="gramEnd"/>
            <w:r w:rsidRPr="00357F23">
              <w:rPr>
                <w:rFonts w:ascii="Calibri" w:hAnsi="Calibri" w:cs="Calibri"/>
                <w:b/>
                <w:sz w:val="20"/>
                <w:szCs w:val="20"/>
              </w:rPr>
              <w:t>*)</w:t>
            </w:r>
          </w:p>
        </w:tc>
        <w:tc>
          <w:tcPr>
            <w:tcW w:w="3119" w:type="dxa"/>
          </w:tcPr>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r w:rsidRPr="00357F23">
              <w:rPr>
                <w:rFonts w:ascii="Calibri" w:hAnsi="Calibri" w:cs="Calibri"/>
                <w:sz w:val="20"/>
                <w:szCs w:val="20"/>
              </w:rPr>
              <w:t xml:space="preserve">Ley 440 Anexo I apartado </w:t>
            </w:r>
            <w:proofErr w:type="gramStart"/>
            <w:r w:rsidRPr="00357F23">
              <w:rPr>
                <w:rFonts w:ascii="Calibri" w:hAnsi="Calibri" w:cs="Calibri"/>
                <w:sz w:val="20"/>
                <w:szCs w:val="20"/>
              </w:rPr>
              <w:t>7  a</w:t>
            </w:r>
            <w:proofErr w:type="gramEnd"/>
            <w:r w:rsidRPr="00357F23">
              <w:rPr>
                <w:rFonts w:ascii="Calibri" w:hAnsi="Calibri" w:cs="Calibri"/>
                <w:sz w:val="20"/>
                <w:szCs w:val="20"/>
              </w:rPr>
              <w:t>)</w:t>
            </w:r>
          </w:p>
          <w:p w:rsidR="00C3361A" w:rsidRPr="00357F23" w:rsidRDefault="00C3361A" w:rsidP="00A474A0">
            <w:pPr>
              <w:rPr>
                <w:rFonts w:ascii="Calibri" w:hAnsi="Calibri" w:cs="Calibri"/>
                <w:sz w:val="20"/>
                <w:szCs w:val="20"/>
              </w:rPr>
            </w:pPr>
          </w:p>
        </w:tc>
      </w:tr>
      <w:tr w:rsidR="00C3361A" w:rsidRPr="00357F23" w:rsidTr="00C3361A">
        <w:trPr>
          <w:trHeight w:val="624"/>
        </w:trPr>
        <w:tc>
          <w:tcPr>
            <w:tcW w:w="1101" w:type="dxa"/>
          </w:tcPr>
          <w:p w:rsidR="00C3361A" w:rsidRPr="00357F23" w:rsidRDefault="00C3361A" w:rsidP="00A474A0">
            <w:pPr>
              <w:jc w:val="center"/>
              <w:rPr>
                <w:rFonts w:ascii="Calibri" w:hAnsi="Calibri" w:cs="Calibri"/>
                <w:b/>
                <w:sz w:val="20"/>
                <w:szCs w:val="20"/>
              </w:rPr>
            </w:pPr>
            <w:r>
              <w:rPr>
                <w:rFonts w:ascii="Calibri" w:hAnsi="Calibri" w:cs="Calibri"/>
                <w:b/>
                <w:sz w:val="20"/>
                <w:szCs w:val="20"/>
              </w:rPr>
              <w:lastRenderedPageBreak/>
              <w:t>381100</w:t>
            </w:r>
          </w:p>
          <w:p w:rsidR="00C3361A" w:rsidRPr="00357F23" w:rsidRDefault="00C3361A" w:rsidP="00A474A0">
            <w:pPr>
              <w:jc w:val="center"/>
              <w:rPr>
                <w:rFonts w:ascii="Calibri" w:hAnsi="Calibri" w:cs="Calibri"/>
                <w:b/>
                <w:sz w:val="20"/>
                <w:szCs w:val="20"/>
              </w:rPr>
            </w:pPr>
            <w:r>
              <w:rPr>
                <w:rFonts w:ascii="Calibri" w:hAnsi="Calibri" w:cs="Calibri"/>
                <w:b/>
                <w:sz w:val="20"/>
                <w:szCs w:val="20"/>
              </w:rPr>
              <w:t>381200</w:t>
            </w:r>
          </w:p>
          <w:p w:rsidR="00C3361A" w:rsidRPr="00357F23" w:rsidRDefault="00C3361A" w:rsidP="00A474A0">
            <w:pPr>
              <w:jc w:val="center"/>
              <w:rPr>
                <w:rFonts w:ascii="Calibri" w:hAnsi="Calibri" w:cs="Calibri"/>
                <w:b/>
                <w:sz w:val="20"/>
                <w:szCs w:val="20"/>
              </w:rPr>
            </w:pPr>
          </w:p>
        </w:tc>
        <w:tc>
          <w:tcPr>
            <w:tcW w:w="1134" w:type="dxa"/>
            <w:vMerge w:val="restart"/>
          </w:tcPr>
          <w:p w:rsidR="00C3361A" w:rsidRPr="00357F23" w:rsidRDefault="00C3361A" w:rsidP="00A474A0">
            <w:pPr>
              <w:jc w:val="center"/>
              <w:rPr>
                <w:rFonts w:ascii="Calibri" w:hAnsi="Calibri" w:cs="Calibri"/>
                <w:b/>
                <w:sz w:val="20"/>
                <w:szCs w:val="20"/>
              </w:rPr>
            </w:pPr>
          </w:p>
          <w:p w:rsidR="00C3361A" w:rsidRDefault="00C3361A" w:rsidP="00A474A0">
            <w:pPr>
              <w:jc w:val="center"/>
              <w:rPr>
                <w:rFonts w:ascii="Calibri" w:hAnsi="Calibri" w:cs="Calibri"/>
                <w:b/>
                <w:sz w:val="20"/>
                <w:szCs w:val="20"/>
              </w:rPr>
            </w:pPr>
            <w:r w:rsidRPr="00357F23">
              <w:rPr>
                <w:rFonts w:ascii="Calibri" w:hAnsi="Calibri" w:cs="Calibri"/>
                <w:b/>
                <w:sz w:val="20"/>
                <w:szCs w:val="20"/>
              </w:rPr>
              <w:t>9</w:t>
            </w:r>
            <w:r>
              <w:rPr>
                <w:rFonts w:ascii="Calibri" w:hAnsi="Calibri" w:cs="Calibri"/>
                <w:b/>
                <w:sz w:val="20"/>
                <w:szCs w:val="20"/>
              </w:rPr>
              <w:t>0</w:t>
            </w:r>
            <w:r w:rsidRPr="00357F23">
              <w:rPr>
                <w:rFonts w:ascii="Calibri" w:hAnsi="Calibri" w:cs="Calibri"/>
                <w:b/>
                <w:sz w:val="20"/>
                <w:szCs w:val="20"/>
              </w:rPr>
              <w:t>0010</w:t>
            </w:r>
          </w:p>
          <w:p w:rsidR="00C3361A" w:rsidRPr="00357F23" w:rsidRDefault="00C3361A" w:rsidP="00A474A0">
            <w:pPr>
              <w:jc w:val="center"/>
              <w:rPr>
                <w:rFonts w:ascii="Calibri" w:hAnsi="Calibri" w:cs="Calibri"/>
                <w:b/>
                <w:sz w:val="20"/>
                <w:szCs w:val="20"/>
              </w:rPr>
            </w:pPr>
            <w:r>
              <w:rPr>
                <w:rFonts w:ascii="Calibri" w:hAnsi="Calibri" w:cs="Calibri"/>
                <w:b/>
                <w:sz w:val="20"/>
                <w:szCs w:val="20"/>
              </w:rPr>
              <w:t>900090</w:t>
            </w:r>
          </w:p>
        </w:tc>
        <w:tc>
          <w:tcPr>
            <w:tcW w:w="4394" w:type="dxa"/>
            <w:vMerge w:val="restart"/>
          </w:tcPr>
          <w:p w:rsidR="00C3361A" w:rsidRPr="00357F23" w:rsidRDefault="00C3361A" w:rsidP="00A474A0">
            <w:pPr>
              <w:rPr>
                <w:rFonts w:ascii="Calibri" w:hAnsi="Calibri" w:cs="Calibri"/>
                <w:b/>
                <w:sz w:val="20"/>
                <w:szCs w:val="20"/>
              </w:rPr>
            </w:pPr>
            <w:r w:rsidRPr="00357F23">
              <w:rPr>
                <w:rFonts w:ascii="Calibri" w:hAnsi="Calibri" w:cs="Calibri"/>
                <w:b/>
                <w:sz w:val="20"/>
                <w:szCs w:val="20"/>
              </w:rPr>
              <w:t>Servicios de saneamiento y similares (incluye los servicios de recolección de residuos, limpieza, exterminio, fumigación, desinfección, desagote de pozos negros y cámaras sépticas, etc.).</w:t>
            </w:r>
          </w:p>
        </w:tc>
        <w:tc>
          <w:tcPr>
            <w:tcW w:w="1559" w:type="dxa"/>
            <w:vMerge w:val="restart"/>
          </w:tcPr>
          <w:p w:rsidR="00C3361A" w:rsidRPr="00357F23" w:rsidRDefault="00C3361A" w:rsidP="00A474A0">
            <w:pPr>
              <w:jc w:val="center"/>
              <w:rPr>
                <w:rFonts w:ascii="Calibri" w:hAnsi="Calibri" w:cs="Calibri"/>
                <w:sz w:val="20"/>
                <w:szCs w:val="20"/>
              </w:rPr>
            </w:pPr>
          </w:p>
          <w:p w:rsidR="00C3361A" w:rsidRPr="00357F23" w:rsidRDefault="00C3361A" w:rsidP="00A474A0">
            <w:pPr>
              <w:jc w:val="center"/>
              <w:rPr>
                <w:rFonts w:ascii="Calibri" w:hAnsi="Calibri" w:cs="Calibri"/>
                <w:sz w:val="20"/>
                <w:szCs w:val="20"/>
              </w:rPr>
            </w:pPr>
            <w:r w:rsidRPr="00357F23">
              <w:rPr>
                <w:rFonts w:ascii="Calibri" w:hAnsi="Calibri" w:cs="Calibri"/>
                <w:b/>
                <w:sz w:val="20"/>
                <w:szCs w:val="20"/>
              </w:rPr>
              <w:t>3 % (*)</w:t>
            </w:r>
          </w:p>
        </w:tc>
        <w:tc>
          <w:tcPr>
            <w:tcW w:w="3119" w:type="dxa"/>
            <w:vMerge w:val="restart"/>
          </w:tcPr>
          <w:p w:rsidR="00C3361A" w:rsidRPr="00357F23" w:rsidRDefault="00C3361A" w:rsidP="00A474A0">
            <w:pPr>
              <w:rPr>
                <w:rFonts w:ascii="Calibri" w:hAnsi="Calibri" w:cs="Calibri"/>
                <w:sz w:val="20"/>
                <w:szCs w:val="20"/>
              </w:rPr>
            </w:pPr>
          </w:p>
          <w:p w:rsidR="00C3361A" w:rsidRPr="00357F23" w:rsidRDefault="00C3361A" w:rsidP="00A474A0">
            <w:pPr>
              <w:rPr>
                <w:rFonts w:ascii="Calibri" w:hAnsi="Calibri" w:cs="Calibri"/>
                <w:sz w:val="20"/>
                <w:szCs w:val="20"/>
              </w:rPr>
            </w:pPr>
            <w:r w:rsidRPr="00357F23">
              <w:rPr>
                <w:rFonts w:ascii="Calibri" w:hAnsi="Calibri" w:cs="Calibri"/>
                <w:sz w:val="20"/>
                <w:szCs w:val="20"/>
              </w:rPr>
              <w:t xml:space="preserve">Ley 440 Anexo I apartado </w:t>
            </w:r>
            <w:proofErr w:type="gramStart"/>
            <w:r w:rsidRPr="00357F23">
              <w:rPr>
                <w:rFonts w:ascii="Calibri" w:hAnsi="Calibri" w:cs="Calibri"/>
                <w:sz w:val="20"/>
                <w:szCs w:val="20"/>
              </w:rPr>
              <w:t>9  a</w:t>
            </w:r>
            <w:proofErr w:type="gramEnd"/>
            <w:r w:rsidRPr="00357F23">
              <w:rPr>
                <w:rFonts w:ascii="Calibri" w:hAnsi="Calibri" w:cs="Calibri"/>
                <w:sz w:val="20"/>
                <w:szCs w:val="20"/>
              </w:rPr>
              <w:t>)</w:t>
            </w:r>
          </w:p>
        </w:tc>
      </w:tr>
      <w:tr w:rsidR="00C3361A" w:rsidRPr="00357F23" w:rsidTr="00C3361A">
        <w:trPr>
          <w:trHeight w:val="436"/>
        </w:trPr>
        <w:tc>
          <w:tcPr>
            <w:tcW w:w="1101" w:type="dxa"/>
          </w:tcPr>
          <w:p w:rsidR="00C3361A" w:rsidRPr="00357F23" w:rsidRDefault="00C3361A" w:rsidP="00A474A0">
            <w:pPr>
              <w:jc w:val="center"/>
              <w:rPr>
                <w:rFonts w:ascii="Calibri" w:hAnsi="Calibri" w:cs="Calibri"/>
                <w:b/>
                <w:sz w:val="20"/>
                <w:szCs w:val="20"/>
              </w:rPr>
            </w:pPr>
            <w:r>
              <w:rPr>
                <w:rFonts w:ascii="Calibri" w:hAnsi="Calibri" w:cs="Calibri"/>
                <w:b/>
                <w:sz w:val="20"/>
                <w:szCs w:val="20"/>
              </w:rPr>
              <w:t>390000</w:t>
            </w:r>
          </w:p>
        </w:tc>
        <w:tc>
          <w:tcPr>
            <w:tcW w:w="1134" w:type="dxa"/>
            <w:vMerge/>
          </w:tcPr>
          <w:p w:rsidR="00C3361A" w:rsidRPr="00357F23" w:rsidRDefault="00C3361A" w:rsidP="00A474A0">
            <w:pPr>
              <w:jc w:val="center"/>
              <w:rPr>
                <w:rFonts w:ascii="Calibri" w:hAnsi="Calibri" w:cs="Calibri"/>
                <w:sz w:val="20"/>
                <w:szCs w:val="20"/>
              </w:rPr>
            </w:pPr>
          </w:p>
        </w:tc>
        <w:tc>
          <w:tcPr>
            <w:tcW w:w="4394" w:type="dxa"/>
            <w:vMerge/>
          </w:tcPr>
          <w:p w:rsidR="00C3361A" w:rsidRPr="00357F23" w:rsidRDefault="00C3361A" w:rsidP="00A474A0">
            <w:pPr>
              <w:rPr>
                <w:rFonts w:ascii="Calibri" w:hAnsi="Calibri" w:cs="Calibri"/>
                <w:sz w:val="20"/>
                <w:szCs w:val="20"/>
              </w:rPr>
            </w:pPr>
          </w:p>
        </w:tc>
        <w:tc>
          <w:tcPr>
            <w:tcW w:w="1559" w:type="dxa"/>
            <w:vMerge/>
          </w:tcPr>
          <w:p w:rsidR="00C3361A" w:rsidRPr="00357F23" w:rsidRDefault="00C3361A" w:rsidP="00A474A0">
            <w:pPr>
              <w:jc w:val="center"/>
              <w:rPr>
                <w:rFonts w:ascii="Calibri" w:hAnsi="Calibri" w:cs="Calibri"/>
                <w:sz w:val="20"/>
                <w:szCs w:val="20"/>
              </w:rPr>
            </w:pPr>
          </w:p>
        </w:tc>
        <w:tc>
          <w:tcPr>
            <w:tcW w:w="3119" w:type="dxa"/>
            <w:vMerge/>
          </w:tcPr>
          <w:p w:rsidR="00C3361A" w:rsidRPr="00357F23" w:rsidRDefault="00C3361A" w:rsidP="00A474A0">
            <w:pPr>
              <w:rPr>
                <w:rFonts w:ascii="Calibri" w:hAnsi="Calibri" w:cs="Calibri"/>
                <w:sz w:val="20"/>
                <w:szCs w:val="20"/>
              </w:rPr>
            </w:pPr>
          </w:p>
        </w:tc>
      </w:tr>
    </w:tbl>
    <w:p w:rsidR="00C3361A" w:rsidRPr="00357F23" w:rsidRDefault="00C3361A" w:rsidP="00C3361A">
      <w:pPr>
        <w:rPr>
          <w:rFonts w:ascii="Calibri" w:hAnsi="Calibri" w:cs="Calibri"/>
          <w:sz w:val="20"/>
          <w:szCs w:val="20"/>
        </w:rPr>
      </w:pPr>
    </w:p>
    <w:p w:rsidR="00C3361A" w:rsidRDefault="00C3361A" w:rsidP="00C3361A">
      <w:pPr>
        <w:rPr>
          <w:color w:val="000000"/>
          <w:sz w:val="20"/>
          <w:szCs w:val="20"/>
        </w:rPr>
      </w:pPr>
      <w:r w:rsidRPr="00172044">
        <w:rPr>
          <w:sz w:val="20"/>
          <w:szCs w:val="20"/>
        </w:rPr>
        <w:t xml:space="preserve">(*) Se deberá agregar la alícuota adicional del </w:t>
      </w:r>
      <w:r w:rsidRPr="00AE7240">
        <w:rPr>
          <w:b/>
          <w:sz w:val="20"/>
          <w:szCs w:val="20"/>
        </w:rPr>
        <w:t>1,5 %</w:t>
      </w:r>
      <w:r w:rsidRPr="00172044">
        <w:rPr>
          <w:sz w:val="20"/>
          <w:szCs w:val="20"/>
        </w:rPr>
        <w:t xml:space="preserve"> establecida en el artículo 6º de la Ley 907</w:t>
      </w:r>
      <w:r>
        <w:rPr>
          <w:sz w:val="20"/>
          <w:szCs w:val="20"/>
        </w:rPr>
        <w:t>(modificada por la ley 1223</w:t>
      </w:r>
      <w:proofErr w:type="gramStart"/>
      <w:r>
        <w:rPr>
          <w:sz w:val="20"/>
          <w:szCs w:val="20"/>
        </w:rPr>
        <w:t xml:space="preserve">) </w:t>
      </w:r>
      <w:r w:rsidRPr="00172044">
        <w:rPr>
          <w:sz w:val="20"/>
          <w:szCs w:val="20"/>
        </w:rPr>
        <w:t xml:space="preserve"> que</w:t>
      </w:r>
      <w:proofErr w:type="gramEnd"/>
      <w:r w:rsidRPr="00172044">
        <w:rPr>
          <w:sz w:val="20"/>
          <w:szCs w:val="20"/>
        </w:rPr>
        <w:t xml:space="preserve"> crea el </w:t>
      </w:r>
      <w:r w:rsidRPr="00172044">
        <w:rPr>
          <w:color w:val="000000"/>
          <w:sz w:val="20"/>
          <w:szCs w:val="20"/>
        </w:rPr>
        <w:t>"Fondo de Financiamiento de Servicios Sociales".</w:t>
      </w:r>
    </w:p>
    <w:p w:rsidR="00C3361A" w:rsidRDefault="00C3361A" w:rsidP="00C3361A">
      <w:pPr>
        <w:rPr>
          <w:color w:val="000000"/>
          <w:sz w:val="20"/>
          <w:szCs w:val="20"/>
        </w:rPr>
      </w:pPr>
    </w:p>
    <w:p w:rsidR="00C3361A" w:rsidRPr="00ED540F" w:rsidRDefault="00C3361A" w:rsidP="00C3361A">
      <w:pPr>
        <w:rPr>
          <w:b/>
          <w:bCs/>
          <w:sz w:val="20"/>
          <w:szCs w:val="20"/>
          <w:lang w:val="es-AR"/>
        </w:rPr>
      </w:pPr>
      <w:r w:rsidRPr="00ED540F">
        <w:rPr>
          <w:b/>
          <w:bCs/>
          <w:sz w:val="20"/>
          <w:szCs w:val="20"/>
          <w:lang w:val="es-AR"/>
        </w:rPr>
        <w:t>REDUCCIONES POR CUMPLIMIENTO</w:t>
      </w:r>
      <w:r>
        <w:rPr>
          <w:b/>
          <w:bCs/>
          <w:sz w:val="20"/>
          <w:szCs w:val="20"/>
          <w:lang w:val="es-AR"/>
        </w:rPr>
        <w:t xml:space="preserve"> (Contribuyentes directos y del Convenio Multilateral con Jurisdicción Sede en la provincia): Ley </w:t>
      </w:r>
      <w:proofErr w:type="gramStart"/>
      <w:r>
        <w:rPr>
          <w:b/>
          <w:bCs/>
          <w:sz w:val="20"/>
          <w:szCs w:val="20"/>
          <w:lang w:val="es-AR"/>
        </w:rPr>
        <w:t>1075  (</w:t>
      </w:r>
      <w:proofErr w:type="gramEnd"/>
      <w:r>
        <w:rPr>
          <w:b/>
          <w:bCs/>
          <w:sz w:val="20"/>
          <w:szCs w:val="20"/>
          <w:lang w:val="es-AR"/>
        </w:rPr>
        <w:t xml:space="preserve">Con modificación  Ley 1278) </w:t>
      </w:r>
    </w:p>
    <w:p w:rsidR="00C3361A" w:rsidRDefault="00C3361A" w:rsidP="00C3361A">
      <w:pPr>
        <w:rPr>
          <w:sz w:val="20"/>
          <w:szCs w:val="20"/>
        </w:rPr>
      </w:pPr>
      <w:bookmarkStart w:id="1" w:name="Art_209"/>
      <w:bookmarkEnd w:id="1"/>
    </w:p>
    <w:p w:rsidR="00C3361A" w:rsidRPr="00ED540F" w:rsidRDefault="00C3361A" w:rsidP="00C3361A">
      <w:pPr>
        <w:rPr>
          <w:sz w:val="20"/>
          <w:szCs w:val="20"/>
        </w:rPr>
      </w:pPr>
      <w:r w:rsidRPr="00ED540F">
        <w:rPr>
          <w:sz w:val="20"/>
          <w:szCs w:val="20"/>
        </w:rPr>
        <w:t>Art. 209 - Los contribuyentes que acrediten cumplimiento y situación regular en el pago del impuesto gozarán de las siguientes reducciones respecto de los importes que les corresponda tributar:</w:t>
      </w:r>
    </w:p>
    <w:p w:rsidR="00C3361A" w:rsidRPr="00ED540F" w:rsidRDefault="00C3361A" w:rsidP="00C3361A">
      <w:pPr>
        <w:rPr>
          <w:sz w:val="20"/>
          <w:szCs w:val="20"/>
        </w:rPr>
      </w:pPr>
      <w:r w:rsidRPr="00ED540F">
        <w:rPr>
          <w:sz w:val="20"/>
          <w:szCs w:val="20"/>
        </w:rPr>
        <w:t>a) quince por ciento (15%) para aquellos contribuyentes cuya base imponible anual no supere la suma de pesos sesenta millones ($ 60.000.000); y</w:t>
      </w:r>
    </w:p>
    <w:p w:rsidR="00C3361A" w:rsidRPr="00ED540F" w:rsidRDefault="00C3361A" w:rsidP="00C3361A">
      <w:pPr>
        <w:rPr>
          <w:sz w:val="20"/>
          <w:szCs w:val="20"/>
        </w:rPr>
      </w:pPr>
      <w:r w:rsidRPr="00ED540F">
        <w:rPr>
          <w:sz w:val="20"/>
          <w:szCs w:val="20"/>
        </w:rPr>
        <w:t>b) ocho por ciento para aquellos contribuyentes que superen la base imponible anual establecida en el inciso a).</w:t>
      </w:r>
    </w:p>
    <w:p w:rsidR="00C3361A" w:rsidRPr="00ED540F" w:rsidRDefault="00C3361A" w:rsidP="00C3361A">
      <w:pPr>
        <w:rPr>
          <w:sz w:val="20"/>
          <w:szCs w:val="20"/>
        </w:rPr>
      </w:pPr>
      <w:r w:rsidRPr="00ED540F">
        <w:rPr>
          <w:sz w:val="20"/>
          <w:szCs w:val="20"/>
        </w:rPr>
        <w:t>La base imponible anual a considerar para el encuadramiento en los porcentajes de reducción del tributo a ingresar será la correspondiente al año calendario inmediato anterior al ejercicio fiscal en que se usufructúe el beneficio.</w:t>
      </w:r>
    </w:p>
    <w:p w:rsidR="00C3361A" w:rsidRPr="00ED540F" w:rsidRDefault="00C3361A" w:rsidP="00C3361A">
      <w:pPr>
        <w:rPr>
          <w:sz w:val="20"/>
          <w:szCs w:val="20"/>
        </w:rPr>
      </w:pPr>
      <w:r w:rsidRPr="00ED540F">
        <w:rPr>
          <w:sz w:val="20"/>
          <w:szCs w:val="20"/>
        </w:rPr>
        <w:t>En el caso de contribuyentes que tributan el impuesto bajo las disposiciones del régimen del Convenio Multilateral, las reducciones establecidas en el presente artículo serán de aplicación para aquellos cuyo fisco seda sea la jurisdicción Tierra del Fuego y la base imponible anual a considerar para determinación del porcentaje del beneficio a aplicar será la base imponible total del país del año calendario inmediato anterior.</w:t>
      </w:r>
    </w:p>
    <w:p w:rsidR="00C3361A" w:rsidRPr="00ED540F" w:rsidRDefault="00C3361A" w:rsidP="00C3361A">
      <w:pPr>
        <w:rPr>
          <w:sz w:val="20"/>
          <w:szCs w:val="20"/>
        </w:rPr>
      </w:pPr>
      <w:r w:rsidRPr="00ED540F">
        <w:rPr>
          <w:sz w:val="20"/>
          <w:szCs w:val="20"/>
        </w:rPr>
        <w:t>A los fines del encuadramiento en la presente norma, los contribuyentes deberán declarar su situación respecto de los supuestos indicados -a) o b)-, de conformidad con la reglamentación que al efecto dicte la Agencia de Recaudación Fueguina (AREF).</w:t>
      </w:r>
    </w:p>
    <w:p w:rsidR="00C3361A" w:rsidRPr="00ED540F" w:rsidRDefault="00C3361A" w:rsidP="00C3361A">
      <w:pPr>
        <w:rPr>
          <w:sz w:val="20"/>
          <w:szCs w:val="20"/>
        </w:rPr>
      </w:pPr>
      <w:r w:rsidRPr="00ED540F">
        <w:rPr>
          <w:sz w:val="20"/>
          <w:szCs w:val="20"/>
        </w:rPr>
        <w:t>Se considera cumplimiento y situación regular en el pago del impuesto, el acreditar el cumplimiento de las obligaciones formales y materiales correspondientes a los tributos recaudados por la Agencia de Recaudación Fueguina, devengados o exigibles, conjuntamente con el pago de las últimas doce (12) posiciones y la que se pretende abonar en la fecha de vencimiento establecida por la mentada Agencia.</w:t>
      </w:r>
    </w:p>
    <w:p w:rsidR="00C3361A" w:rsidRPr="00ED540F" w:rsidRDefault="00C3361A" w:rsidP="00C3361A">
      <w:pPr>
        <w:rPr>
          <w:sz w:val="20"/>
          <w:szCs w:val="20"/>
        </w:rPr>
      </w:pPr>
      <w:r w:rsidRPr="00ED540F">
        <w:rPr>
          <w:sz w:val="20"/>
          <w:szCs w:val="20"/>
        </w:rPr>
        <w:t xml:space="preserve">A este efecto se considerará que se encuentran encuadrados aquellos contribuyentes </w:t>
      </w:r>
      <w:proofErr w:type="gramStart"/>
      <w:r w:rsidRPr="00ED540F">
        <w:rPr>
          <w:sz w:val="20"/>
          <w:szCs w:val="20"/>
        </w:rPr>
        <w:t>que</w:t>
      </w:r>
      <w:proofErr w:type="gramEnd"/>
      <w:r w:rsidRPr="00ED540F">
        <w:rPr>
          <w:sz w:val="20"/>
          <w:szCs w:val="20"/>
        </w:rPr>
        <w:t xml:space="preserve"> poseyendo deuda con la Administración, procedan o hayan procedido a su regularización mediante planes de facilidades de pago u otro medio de cancelación autorizado, en tanto y en cuanto no hayan incurrido o incurran en el futuro en causal de caducidad.</w:t>
      </w:r>
    </w:p>
    <w:p w:rsidR="00C3361A" w:rsidRPr="00ED540F" w:rsidRDefault="00C3361A" w:rsidP="00C3361A">
      <w:pPr>
        <w:rPr>
          <w:sz w:val="20"/>
          <w:szCs w:val="20"/>
        </w:rPr>
      </w:pPr>
      <w:r w:rsidRPr="00ED540F">
        <w:rPr>
          <w:sz w:val="20"/>
          <w:szCs w:val="20"/>
        </w:rPr>
        <w:t>Aquellos contribuyentes que no reúnan las condiciones mencionadas precedentemente deberán tributar el impuesto sobre los ingresos brutos de conformidad con las alícuotas establecidas en la Ley Tarifaria correspondiente, sin el beneficio de reducción con más los accesorios de la ley devengados hasta la fecha del efectivo pago.</w:t>
      </w:r>
    </w:p>
    <w:p w:rsidR="00C3361A" w:rsidRPr="00ED540F" w:rsidRDefault="00C3361A" w:rsidP="00C3361A">
      <w:pPr>
        <w:rPr>
          <w:sz w:val="20"/>
          <w:szCs w:val="20"/>
        </w:rPr>
      </w:pPr>
      <w:r w:rsidRPr="00ED540F">
        <w:rPr>
          <w:sz w:val="20"/>
          <w:szCs w:val="20"/>
        </w:rPr>
        <w:t>El beneficio no podrá ser ejercido retroactivamente ni tampoco en forma acumulada y comenzará a gozarse a partir de la decimotercera (13) posición, manteniéndose vigente en tanto y en cuanto las subsiguientes se sigan presentando y abonando en término. Se admitirá el pago fuera de término de tres (3) posiciones mensuales por año calendario sin pérdida del beneficio, siempre que se cancelen con los intereses correspondientes dentro del mismo mes del vencimiento de la respectiva obligación.</w:t>
      </w:r>
    </w:p>
    <w:p w:rsidR="00C3361A" w:rsidRPr="00ED540F" w:rsidRDefault="00C3361A" w:rsidP="00C3361A">
      <w:pPr>
        <w:rPr>
          <w:sz w:val="20"/>
          <w:szCs w:val="20"/>
        </w:rPr>
      </w:pPr>
      <w:r w:rsidRPr="00ED540F">
        <w:rPr>
          <w:sz w:val="20"/>
          <w:szCs w:val="20"/>
        </w:rPr>
        <w:t>Los contribuyentes que, habiendo comenzado a gozar del beneficio de la referida deducción incurran en alguna falta formal o material relativa a las obligaciones y tributos que recauda la Agencia de Recaudación Fueguina, no perderán el mismo en tanto y en cuanto:</w:t>
      </w:r>
    </w:p>
    <w:p w:rsidR="00C3361A" w:rsidRPr="00ED540F" w:rsidRDefault="00C3361A" w:rsidP="00C3361A">
      <w:pPr>
        <w:rPr>
          <w:sz w:val="20"/>
          <w:szCs w:val="20"/>
        </w:rPr>
      </w:pPr>
      <w:r w:rsidRPr="00ED540F">
        <w:rPr>
          <w:sz w:val="20"/>
          <w:szCs w:val="20"/>
        </w:rPr>
        <w:t>a) procedan a regularizar su situación en forma espontánea;</w:t>
      </w:r>
    </w:p>
    <w:p w:rsidR="00C3361A" w:rsidRPr="00ED540F" w:rsidRDefault="00C3361A" w:rsidP="00C3361A">
      <w:pPr>
        <w:rPr>
          <w:sz w:val="20"/>
          <w:szCs w:val="20"/>
        </w:rPr>
      </w:pPr>
      <w:r w:rsidRPr="00ED540F">
        <w:rPr>
          <w:sz w:val="20"/>
          <w:szCs w:val="20"/>
        </w:rPr>
        <w:lastRenderedPageBreak/>
        <w:t>b) procedan a la regularización de la situación fiscal a requerimiento de la Agencia y dentro del plazo establecido por la misma; y</w:t>
      </w:r>
    </w:p>
    <w:p w:rsidR="00C3361A" w:rsidRPr="00ED540F" w:rsidRDefault="00C3361A" w:rsidP="00C3361A">
      <w:pPr>
        <w:rPr>
          <w:sz w:val="20"/>
          <w:szCs w:val="20"/>
        </w:rPr>
      </w:pPr>
      <w:r w:rsidRPr="00ED540F">
        <w:rPr>
          <w:sz w:val="20"/>
          <w:szCs w:val="20"/>
        </w:rPr>
        <w:t>c) procedan a la cancelación de la deuda exigida por la Agencia en los términos establecidos, una vez firme.</w:t>
      </w:r>
    </w:p>
    <w:p w:rsidR="00C3361A" w:rsidRPr="00ED540F" w:rsidRDefault="00C3361A" w:rsidP="00C3361A">
      <w:pPr>
        <w:rPr>
          <w:sz w:val="20"/>
          <w:szCs w:val="20"/>
        </w:rPr>
      </w:pPr>
      <w:r w:rsidRPr="00ED540F">
        <w:rPr>
          <w:sz w:val="20"/>
          <w:szCs w:val="20"/>
        </w:rPr>
        <w:t>A la solicitud de los contribuyentes y a efectos de evitar inequidades, se admitirá la aplicación retroactiva del párrafo mencionado precedentemente, siempre que el mismo no implique la generación de un derecho de repetición al contribuyente ni devolución de impuestos por parte del fisco.</w:t>
      </w:r>
    </w:p>
    <w:p w:rsidR="00C3361A" w:rsidRPr="00ED540F" w:rsidRDefault="00C3361A" w:rsidP="00C3361A">
      <w:pPr>
        <w:rPr>
          <w:sz w:val="20"/>
          <w:szCs w:val="20"/>
        </w:rPr>
      </w:pPr>
    </w:p>
    <w:p w:rsidR="00FF64DB" w:rsidRPr="005D4204" w:rsidRDefault="00FF64DB" w:rsidP="00C3361A">
      <w:pPr>
        <w:jc w:val="center"/>
        <w:rPr>
          <w:rFonts w:ascii="Arial" w:hAnsi="Arial" w:cs="Arial"/>
          <w:b/>
        </w:rPr>
      </w:pPr>
    </w:p>
    <w:sectPr w:rsidR="00FF64DB" w:rsidRPr="005D4204" w:rsidSect="00A16DC2">
      <w:headerReference w:type="default" r:id="rId7"/>
      <w:pgSz w:w="11907" w:h="16840" w:code="9"/>
      <w:pgMar w:top="2268" w:right="1134" w:bottom="851" w:left="141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F9461B"/>
    <w:multiLevelType w:val="hybridMultilevel"/>
    <w:tmpl w:val="B1D6DA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05FE0371"/>
    <w:multiLevelType w:val="hybridMultilevel"/>
    <w:tmpl w:val="7CA65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15:restartNumberingAfterBreak="0">
    <w:nsid w:val="0BFF5AEC"/>
    <w:multiLevelType w:val="hybridMultilevel"/>
    <w:tmpl w:val="166C8C7C"/>
    <w:lvl w:ilvl="0" w:tplc="2C0A000F">
      <w:start w:val="1"/>
      <w:numFmt w:val="decimal"/>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F2095"/>
    <w:multiLevelType w:val="hybridMultilevel"/>
    <w:tmpl w:val="385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531F53"/>
    <w:multiLevelType w:val="hybridMultilevel"/>
    <w:tmpl w:val="73145962"/>
    <w:lvl w:ilvl="0" w:tplc="FEE05EE2">
      <w:start w:val="1"/>
      <w:numFmt w:val="lowerLetter"/>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12" w15:restartNumberingAfterBreak="0">
    <w:nsid w:val="1B7107A7"/>
    <w:multiLevelType w:val="hybridMultilevel"/>
    <w:tmpl w:val="234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20B4851"/>
    <w:multiLevelType w:val="multilevel"/>
    <w:tmpl w:val="25E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252D49"/>
    <w:multiLevelType w:val="hybridMultilevel"/>
    <w:tmpl w:val="1646D7B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22F06"/>
    <w:multiLevelType w:val="hybridMultilevel"/>
    <w:tmpl w:val="5D0E6C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15:restartNumberingAfterBreak="0">
    <w:nsid w:val="390C352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C3751E9"/>
    <w:multiLevelType w:val="hybridMultilevel"/>
    <w:tmpl w:val="41B87E2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37548"/>
    <w:multiLevelType w:val="hybridMultilevel"/>
    <w:tmpl w:val="4C388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F311F3C"/>
    <w:multiLevelType w:val="multilevel"/>
    <w:tmpl w:val="CA7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DE5424A"/>
    <w:multiLevelType w:val="hybridMultilevel"/>
    <w:tmpl w:val="0E2AA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C308B"/>
    <w:multiLevelType w:val="hybridMultilevel"/>
    <w:tmpl w:val="414A2E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BF075E0"/>
    <w:multiLevelType w:val="hybridMultilevel"/>
    <w:tmpl w:val="84123F3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3"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
  </w:num>
  <w:num w:numId="4">
    <w:abstractNumId w:val="16"/>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0"/>
  </w:num>
  <w:num w:numId="14">
    <w:abstractNumId w:val="8"/>
  </w:num>
  <w:num w:numId="15">
    <w:abstractNumId w:val="5"/>
  </w:num>
  <w:num w:numId="16">
    <w:abstractNumId w:val="22"/>
  </w:num>
  <w:num w:numId="17">
    <w:abstractNumId w:val="7"/>
  </w:num>
  <w:num w:numId="18">
    <w:abstractNumId w:val="32"/>
  </w:num>
  <w:num w:numId="19">
    <w:abstractNumId w:val="1"/>
  </w:num>
  <w:num w:numId="20">
    <w:abstractNumId w:val="10"/>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4"/>
  </w:num>
  <w:num w:numId="26">
    <w:abstractNumId w:val="18"/>
  </w:num>
  <w:num w:numId="27">
    <w:abstractNumId w:val="12"/>
  </w:num>
  <w:num w:numId="28">
    <w:abstractNumId w:val="24"/>
  </w:num>
  <w:num w:numId="29">
    <w:abstractNumId w:val="19"/>
  </w:num>
  <w:num w:numId="30">
    <w:abstractNumId w:val="25"/>
  </w:num>
  <w:num w:numId="31">
    <w:abstractNumId w:val="13"/>
  </w:num>
  <w:num w:numId="32">
    <w:abstractNumId w:val="11"/>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549C7"/>
    <w:rsid w:val="000721BC"/>
    <w:rsid w:val="00084810"/>
    <w:rsid w:val="000A037A"/>
    <w:rsid w:val="000A3628"/>
    <w:rsid w:val="000B16AA"/>
    <w:rsid w:val="000D3C38"/>
    <w:rsid w:val="00103D11"/>
    <w:rsid w:val="001051DB"/>
    <w:rsid w:val="001110B3"/>
    <w:rsid w:val="00145971"/>
    <w:rsid w:val="00145C92"/>
    <w:rsid w:val="00151704"/>
    <w:rsid w:val="001615CE"/>
    <w:rsid w:val="00172641"/>
    <w:rsid w:val="00194AEE"/>
    <w:rsid w:val="001A663D"/>
    <w:rsid w:val="001E78D0"/>
    <w:rsid w:val="001F2147"/>
    <w:rsid w:val="001F255C"/>
    <w:rsid w:val="00204548"/>
    <w:rsid w:val="0021483A"/>
    <w:rsid w:val="002230A0"/>
    <w:rsid w:val="00234CA3"/>
    <w:rsid w:val="00242958"/>
    <w:rsid w:val="00246E3C"/>
    <w:rsid w:val="00297F23"/>
    <w:rsid w:val="002A654F"/>
    <w:rsid w:val="002A7D7B"/>
    <w:rsid w:val="002C3828"/>
    <w:rsid w:val="002E0225"/>
    <w:rsid w:val="002F1399"/>
    <w:rsid w:val="00315352"/>
    <w:rsid w:val="003243E1"/>
    <w:rsid w:val="00342069"/>
    <w:rsid w:val="00354443"/>
    <w:rsid w:val="003606A1"/>
    <w:rsid w:val="00363325"/>
    <w:rsid w:val="003637D0"/>
    <w:rsid w:val="00372901"/>
    <w:rsid w:val="003929A9"/>
    <w:rsid w:val="003A07E6"/>
    <w:rsid w:val="003A115E"/>
    <w:rsid w:val="003A1181"/>
    <w:rsid w:val="003B62E5"/>
    <w:rsid w:val="003D2043"/>
    <w:rsid w:val="003F3D80"/>
    <w:rsid w:val="0040035C"/>
    <w:rsid w:val="00402661"/>
    <w:rsid w:val="00425D54"/>
    <w:rsid w:val="00425FF7"/>
    <w:rsid w:val="00430745"/>
    <w:rsid w:val="0044789A"/>
    <w:rsid w:val="00463C6C"/>
    <w:rsid w:val="004811C1"/>
    <w:rsid w:val="0048594D"/>
    <w:rsid w:val="00491C63"/>
    <w:rsid w:val="004A18A3"/>
    <w:rsid w:val="004A6B4B"/>
    <w:rsid w:val="00514CCE"/>
    <w:rsid w:val="00525985"/>
    <w:rsid w:val="0053655F"/>
    <w:rsid w:val="00537A80"/>
    <w:rsid w:val="00543CF6"/>
    <w:rsid w:val="005456BB"/>
    <w:rsid w:val="00547178"/>
    <w:rsid w:val="005606E2"/>
    <w:rsid w:val="00580335"/>
    <w:rsid w:val="00580660"/>
    <w:rsid w:val="005843C2"/>
    <w:rsid w:val="0058636D"/>
    <w:rsid w:val="00591F7A"/>
    <w:rsid w:val="00592C0B"/>
    <w:rsid w:val="005C5498"/>
    <w:rsid w:val="005D4204"/>
    <w:rsid w:val="005E111D"/>
    <w:rsid w:val="005F662E"/>
    <w:rsid w:val="00606B7E"/>
    <w:rsid w:val="0061400B"/>
    <w:rsid w:val="00620472"/>
    <w:rsid w:val="00632FB4"/>
    <w:rsid w:val="00657964"/>
    <w:rsid w:val="00682765"/>
    <w:rsid w:val="00690C2D"/>
    <w:rsid w:val="0069737F"/>
    <w:rsid w:val="006C1256"/>
    <w:rsid w:val="006D5FA4"/>
    <w:rsid w:val="006D7B9C"/>
    <w:rsid w:val="006E1AA8"/>
    <w:rsid w:val="0070499C"/>
    <w:rsid w:val="0071270A"/>
    <w:rsid w:val="007161A5"/>
    <w:rsid w:val="00716D5A"/>
    <w:rsid w:val="00733626"/>
    <w:rsid w:val="0076642C"/>
    <w:rsid w:val="00776BB2"/>
    <w:rsid w:val="00782225"/>
    <w:rsid w:val="007A6359"/>
    <w:rsid w:val="007C7168"/>
    <w:rsid w:val="007D3E0B"/>
    <w:rsid w:val="007E7821"/>
    <w:rsid w:val="007F0A45"/>
    <w:rsid w:val="007F6012"/>
    <w:rsid w:val="00800128"/>
    <w:rsid w:val="00800904"/>
    <w:rsid w:val="008109FA"/>
    <w:rsid w:val="00822470"/>
    <w:rsid w:val="008300B5"/>
    <w:rsid w:val="0083335D"/>
    <w:rsid w:val="00834D33"/>
    <w:rsid w:val="0084114F"/>
    <w:rsid w:val="008418D3"/>
    <w:rsid w:val="0086330F"/>
    <w:rsid w:val="00871C1E"/>
    <w:rsid w:val="00877957"/>
    <w:rsid w:val="00882272"/>
    <w:rsid w:val="00886A92"/>
    <w:rsid w:val="00897A05"/>
    <w:rsid w:val="008A0F91"/>
    <w:rsid w:val="008A51DC"/>
    <w:rsid w:val="008D0F75"/>
    <w:rsid w:val="008E4875"/>
    <w:rsid w:val="008F0A1B"/>
    <w:rsid w:val="00901959"/>
    <w:rsid w:val="0091582E"/>
    <w:rsid w:val="00936424"/>
    <w:rsid w:val="00942F6C"/>
    <w:rsid w:val="0094765A"/>
    <w:rsid w:val="0095460F"/>
    <w:rsid w:val="00966E72"/>
    <w:rsid w:val="009678A2"/>
    <w:rsid w:val="0097073A"/>
    <w:rsid w:val="009810C5"/>
    <w:rsid w:val="009832BC"/>
    <w:rsid w:val="00987644"/>
    <w:rsid w:val="00991E2F"/>
    <w:rsid w:val="009A3009"/>
    <w:rsid w:val="009C0B71"/>
    <w:rsid w:val="009D7C7C"/>
    <w:rsid w:val="009E458A"/>
    <w:rsid w:val="009E5FFB"/>
    <w:rsid w:val="00A011A0"/>
    <w:rsid w:val="00A16DC2"/>
    <w:rsid w:val="00A2079F"/>
    <w:rsid w:val="00A33A9F"/>
    <w:rsid w:val="00A36B0F"/>
    <w:rsid w:val="00A55517"/>
    <w:rsid w:val="00A676C5"/>
    <w:rsid w:val="00A8606E"/>
    <w:rsid w:val="00A91946"/>
    <w:rsid w:val="00A9675F"/>
    <w:rsid w:val="00AB574D"/>
    <w:rsid w:val="00AD5ED5"/>
    <w:rsid w:val="00AD7AD6"/>
    <w:rsid w:val="00AE0ACE"/>
    <w:rsid w:val="00AE5D6A"/>
    <w:rsid w:val="00B05C4D"/>
    <w:rsid w:val="00B50F34"/>
    <w:rsid w:val="00B548A7"/>
    <w:rsid w:val="00B91300"/>
    <w:rsid w:val="00B9296B"/>
    <w:rsid w:val="00B973C9"/>
    <w:rsid w:val="00BC207E"/>
    <w:rsid w:val="00BE1F1B"/>
    <w:rsid w:val="00BF4047"/>
    <w:rsid w:val="00C00DBC"/>
    <w:rsid w:val="00C01294"/>
    <w:rsid w:val="00C0365F"/>
    <w:rsid w:val="00C12B7C"/>
    <w:rsid w:val="00C3361A"/>
    <w:rsid w:val="00C47642"/>
    <w:rsid w:val="00C6083B"/>
    <w:rsid w:val="00C64AA0"/>
    <w:rsid w:val="00C64B8C"/>
    <w:rsid w:val="00C81166"/>
    <w:rsid w:val="00C86033"/>
    <w:rsid w:val="00C93902"/>
    <w:rsid w:val="00CA7FFD"/>
    <w:rsid w:val="00CB195B"/>
    <w:rsid w:val="00CC201C"/>
    <w:rsid w:val="00CD21F8"/>
    <w:rsid w:val="00CD41C0"/>
    <w:rsid w:val="00CD7168"/>
    <w:rsid w:val="00CF29B6"/>
    <w:rsid w:val="00D012E1"/>
    <w:rsid w:val="00D22348"/>
    <w:rsid w:val="00D37E34"/>
    <w:rsid w:val="00D53377"/>
    <w:rsid w:val="00D650F0"/>
    <w:rsid w:val="00D73962"/>
    <w:rsid w:val="00D77CDD"/>
    <w:rsid w:val="00D94573"/>
    <w:rsid w:val="00D94B6C"/>
    <w:rsid w:val="00DB1CF7"/>
    <w:rsid w:val="00DB540A"/>
    <w:rsid w:val="00DD4C24"/>
    <w:rsid w:val="00DF2A4F"/>
    <w:rsid w:val="00DF6814"/>
    <w:rsid w:val="00E14174"/>
    <w:rsid w:val="00E2396E"/>
    <w:rsid w:val="00E4242F"/>
    <w:rsid w:val="00E5130F"/>
    <w:rsid w:val="00E5626B"/>
    <w:rsid w:val="00E60287"/>
    <w:rsid w:val="00E700AC"/>
    <w:rsid w:val="00E93EA2"/>
    <w:rsid w:val="00EC046E"/>
    <w:rsid w:val="00EC6BC0"/>
    <w:rsid w:val="00EF766D"/>
    <w:rsid w:val="00EF776A"/>
    <w:rsid w:val="00EF7BFD"/>
    <w:rsid w:val="00F01D15"/>
    <w:rsid w:val="00F1036B"/>
    <w:rsid w:val="00F46141"/>
    <w:rsid w:val="00F52CAA"/>
    <w:rsid w:val="00F75F74"/>
    <w:rsid w:val="00F807C6"/>
    <w:rsid w:val="00F81D02"/>
    <w:rsid w:val="00F84809"/>
    <w:rsid w:val="00FB04E2"/>
    <w:rsid w:val="00FB2D40"/>
    <w:rsid w:val="00FE23F9"/>
    <w:rsid w:val="00FF6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81030"/>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paragraph" w:styleId="Ttulo2">
    <w:name w:val="heading 2"/>
    <w:basedOn w:val="Normal"/>
    <w:next w:val="Normal"/>
    <w:link w:val="Ttulo2Car"/>
    <w:uiPriority w:val="9"/>
    <w:unhideWhenUsed/>
    <w:qFormat/>
    <w:rsid w:val="00D53377"/>
    <w:pPr>
      <w:keepNext/>
      <w:widowControl/>
      <w:autoSpaceDE/>
      <w:autoSpaceDN/>
      <w:spacing w:before="240" w:after="60"/>
      <w:jc w:val="left"/>
      <w:outlineLvl w:val="1"/>
    </w:pPr>
    <w:rPr>
      <w:rFonts w:ascii="Calibri Light" w:hAnsi="Calibri Light"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qFormat/>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 w:type="character" w:styleId="Hipervnculovisitado">
    <w:name w:val="FollowedHyperlink"/>
    <w:basedOn w:val="Fuentedeprrafopredeter"/>
    <w:uiPriority w:val="99"/>
    <w:semiHidden/>
    <w:unhideWhenUsed/>
    <w:rsid w:val="00E700AC"/>
    <w:rPr>
      <w:color w:val="954F72" w:themeColor="followedHyperlink"/>
      <w:u w:val="single"/>
    </w:rPr>
  </w:style>
  <w:style w:type="paragraph" w:customStyle="1" w:styleId="texto8novedades">
    <w:name w:val="texto8novedades"/>
    <w:basedOn w:val="Normal"/>
    <w:rsid w:val="00CF29B6"/>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sangrianovedades">
    <w:name w:val="sangri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styleId="Textonotapie">
    <w:name w:val="footnote text"/>
    <w:basedOn w:val="Normal"/>
    <w:link w:val="TextonotapieCar"/>
    <w:uiPriority w:val="99"/>
    <w:semiHidden/>
    <w:unhideWhenUsed/>
    <w:rsid w:val="00B91300"/>
    <w:pPr>
      <w:widowControl/>
      <w:autoSpaceDE/>
      <w:autoSpaceDN/>
      <w:jc w:val="left"/>
    </w:pPr>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B9130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91300"/>
    <w:rPr>
      <w:vertAlign w:val="superscript"/>
    </w:rPr>
  </w:style>
  <w:style w:type="paragraph" w:customStyle="1" w:styleId="Default">
    <w:name w:val="Default"/>
    <w:basedOn w:val="Normal"/>
    <w:rsid w:val="003243E1"/>
    <w:pPr>
      <w:widowControl/>
      <w:jc w:val="left"/>
    </w:pPr>
    <w:rPr>
      <w:rFonts w:ascii="Calibri" w:eastAsiaTheme="minorHAnsi" w:hAnsi="Calibri" w:cs="Calibri"/>
      <w:color w:val="000000"/>
      <w:sz w:val="24"/>
      <w:szCs w:val="24"/>
      <w:lang w:eastAsia="es-ES_tradnl"/>
    </w:rPr>
  </w:style>
  <w:style w:type="paragraph" w:customStyle="1" w:styleId="xmsonormal">
    <w:name w:val="x_msonormal"/>
    <w:basedOn w:val="Normal"/>
    <w:rsid w:val="00FF64DB"/>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886A92"/>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Ttulo2Car">
    <w:name w:val="Título 2 Car"/>
    <w:basedOn w:val="Fuentedeprrafopredeter"/>
    <w:link w:val="Ttulo2"/>
    <w:uiPriority w:val="9"/>
    <w:rsid w:val="00D53377"/>
    <w:rPr>
      <w:rFonts w:ascii="Calibri Light" w:hAnsi="Calibri Light"/>
      <w:b/>
      <w:bCs/>
      <w:i/>
      <w:iCs/>
      <w:sz w:val="28"/>
      <w:szCs w:val="28"/>
      <w:lang w:val="es-ES" w:eastAsia="es-ES"/>
    </w:rPr>
  </w:style>
  <w:style w:type="paragraph" w:customStyle="1" w:styleId="campoocultonovedades">
    <w:name w:val="campoocultonovedades"/>
    <w:basedOn w:val="Normal"/>
    <w:rsid w:val="00D53377"/>
    <w:pPr>
      <w:widowControl/>
      <w:autoSpaceDE/>
      <w:autoSpaceDN/>
      <w:spacing w:line="0" w:lineRule="auto"/>
      <w:jc w:val="left"/>
    </w:pPr>
    <w:rPr>
      <w:rFonts w:ascii="Times New Roman" w:hAnsi="Times New Roman" w:cs="Times New Roman"/>
      <w:color w:val="FFFFFF"/>
      <w:sz w:val="24"/>
      <w:szCs w:val="24"/>
      <w:lang w:val="es-AR"/>
    </w:rPr>
  </w:style>
  <w:style w:type="character" w:customStyle="1" w:styleId="destination">
    <w:name w:val="destination"/>
    <w:basedOn w:val="Fuentedeprrafopredeter"/>
    <w:rsid w:val="00D5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791">
      <w:bodyDiv w:val="1"/>
      <w:marLeft w:val="0"/>
      <w:marRight w:val="0"/>
      <w:marTop w:val="0"/>
      <w:marBottom w:val="0"/>
      <w:divBdr>
        <w:top w:val="none" w:sz="0" w:space="0" w:color="auto"/>
        <w:left w:val="none" w:sz="0" w:space="0" w:color="auto"/>
        <w:bottom w:val="none" w:sz="0" w:space="0" w:color="auto"/>
        <w:right w:val="none" w:sz="0" w:space="0" w:color="auto"/>
      </w:divBdr>
    </w:div>
    <w:div w:id="129715155">
      <w:bodyDiv w:val="1"/>
      <w:marLeft w:val="0"/>
      <w:marRight w:val="0"/>
      <w:marTop w:val="0"/>
      <w:marBottom w:val="0"/>
      <w:divBdr>
        <w:top w:val="none" w:sz="0" w:space="0" w:color="auto"/>
        <w:left w:val="none" w:sz="0" w:space="0" w:color="auto"/>
        <w:bottom w:val="none" w:sz="0" w:space="0" w:color="auto"/>
        <w:right w:val="none" w:sz="0" w:space="0" w:color="auto"/>
      </w:divBdr>
    </w:div>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04568184">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486440031">
      <w:bodyDiv w:val="1"/>
      <w:marLeft w:val="0"/>
      <w:marRight w:val="0"/>
      <w:marTop w:val="0"/>
      <w:marBottom w:val="0"/>
      <w:divBdr>
        <w:top w:val="none" w:sz="0" w:space="0" w:color="auto"/>
        <w:left w:val="none" w:sz="0" w:space="0" w:color="auto"/>
        <w:bottom w:val="none" w:sz="0" w:space="0" w:color="auto"/>
        <w:right w:val="none" w:sz="0" w:space="0" w:color="auto"/>
      </w:divBdr>
    </w:div>
    <w:div w:id="515735215">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037777778">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723207619">
      <w:bodyDiv w:val="1"/>
      <w:marLeft w:val="0"/>
      <w:marRight w:val="0"/>
      <w:marTop w:val="0"/>
      <w:marBottom w:val="0"/>
      <w:divBdr>
        <w:top w:val="none" w:sz="0" w:space="0" w:color="auto"/>
        <w:left w:val="none" w:sz="0" w:space="0" w:color="auto"/>
        <w:bottom w:val="none" w:sz="0" w:space="0" w:color="auto"/>
        <w:right w:val="none" w:sz="0" w:space="0" w:color="auto"/>
      </w:divBdr>
    </w:div>
    <w:div w:id="1817801384">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1917279574">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2</cp:revision>
  <dcterms:created xsi:type="dcterms:W3CDTF">2020-01-28T17:41:00Z</dcterms:created>
  <dcterms:modified xsi:type="dcterms:W3CDTF">2020-01-28T17:41:00Z</dcterms:modified>
</cp:coreProperties>
</file>