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DEBD" w14:textId="77777777" w:rsidR="000C26F0" w:rsidRDefault="00004EA8" w:rsidP="00DC6D78">
      <w:pPr>
        <w:rPr>
          <w:b/>
          <w:lang w:val="es-AR"/>
        </w:rPr>
      </w:pPr>
      <w:proofErr w:type="gramStart"/>
      <w:r>
        <w:rPr>
          <w:b/>
          <w:lang w:val="es-AR"/>
        </w:rPr>
        <w:t>DECISIÓN  ADMINISTRATIVA</w:t>
      </w:r>
      <w:proofErr w:type="gramEnd"/>
      <w:r>
        <w:rPr>
          <w:b/>
          <w:lang w:val="es-AR"/>
        </w:rPr>
        <w:t xml:space="preserve">  1343</w:t>
      </w:r>
      <w:r w:rsidR="000C26F0">
        <w:rPr>
          <w:b/>
          <w:lang w:val="es-AR"/>
        </w:rPr>
        <w:t>/2020</w:t>
      </w:r>
      <w:r>
        <w:rPr>
          <w:b/>
          <w:lang w:val="es-AR"/>
        </w:rPr>
        <w:t xml:space="preserve"> (B.O. 29-7-2020)</w:t>
      </w:r>
    </w:p>
    <w:p w14:paraId="7136AD8F" w14:textId="77777777" w:rsidR="0058594B" w:rsidRDefault="0058594B" w:rsidP="00DC6D78">
      <w:pPr>
        <w:rPr>
          <w:b/>
          <w:lang w:val="es-AR"/>
        </w:rPr>
      </w:pPr>
    </w:p>
    <w:p w14:paraId="59AD29EE" w14:textId="77777777" w:rsidR="000C26F0" w:rsidRDefault="00004EA8" w:rsidP="00DC6D78">
      <w:pPr>
        <w:rPr>
          <w:b/>
          <w:lang w:val="es-AR"/>
        </w:rPr>
      </w:pPr>
      <w:r>
        <w:rPr>
          <w:b/>
          <w:lang w:val="es-AR"/>
        </w:rPr>
        <w:t>Dictada el 28-7</w:t>
      </w:r>
      <w:r w:rsidR="000C26F0">
        <w:rPr>
          <w:b/>
          <w:lang w:val="es-AR"/>
        </w:rPr>
        <w:t>-2020</w:t>
      </w:r>
      <w:r>
        <w:rPr>
          <w:b/>
          <w:lang w:val="es-AR"/>
        </w:rPr>
        <w:t>, fecha de su vigencia</w:t>
      </w:r>
    </w:p>
    <w:p w14:paraId="632E675A" w14:textId="77777777" w:rsidR="00004EA8" w:rsidRDefault="00004EA8" w:rsidP="00DC6D78">
      <w:pPr>
        <w:rPr>
          <w:b/>
          <w:lang w:val="es-AR"/>
        </w:rPr>
      </w:pPr>
    </w:p>
    <w:p w14:paraId="063FC403" w14:textId="77777777" w:rsidR="00004EA8" w:rsidRDefault="00004EA8" w:rsidP="00DC6D78">
      <w:pPr>
        <w:rPr>
          <w:b/>
          <w:lang w:val="es-AR"/>
        </w:rPr>
      </w:pPr>
      <w:r>
        <w:rPr>
          <w:b/>
          <w:lang w:val="es-AR"/>
        </w:rPr>
        <w:t xml:space="preserve">Resolución General 4779 (A.F.I.P.) (B.O. 29-7-2020) </w:t>
      </w:r>
    </w:p>
    <w:p w14:paraId="574F522C" w14:textId="77777777" w:rsidR="000C26F0" w:rsidRDefault="000C26F0" w:rsidP="00DC6D78">
      <w:pPr>
        <w:rPr>
          <w:b/>
          <w:lang w:val="es-AR"/>
        </w:rPr>
      </w:pPr>
    </w:p>
    <w:p w14:paraId="19104CD6" w14:textId="77777777" w:rsidR="000C26F0" w:rsidRDefault="00004EA8" w:rsidP="00DC6D78">
      <w:pPr>
        <w:rPr>
          <w:b/>
          <w:lang w:val="es-AR"/>
        </w:rPr>
      </w:pPr>
      <w:r>
        <w:rPr>
          <w:b/>
          <w:lang w:val="es-AR"/>
        </w:rPr>
        <w:t>ACTA N° 19</w:t>
      </w:r>
    </w:p>
    <w:p w14:paraId="216061F8" w14:textId="77777777" w:rsidR="00004EA8" w:rsidRDefault="00004EA8" w:rsidP="00DC6D78">
      <w:pPr>
        <w:rPr>
          <w:b/>
          <w:lang w:val="es-AR"/>
        </w:rPr>
      </w:pPr>
    </w:p>
    <w:p w14:paraId="099B31BA" w14:textId="77777777" w:rsidR="00004EA8" w:rsidRPr="00A44AF8" w:rsidRDefault="00004EA8" w:rsidP="00004EA8">
      <w:pPr>
        <w:numPr>
          <w:ilvl w:val="0"/>
          <w:numId w:val="7"/>
        </w:numPr>
        <w:rPr>
          <w:lang w:val="es-AR"/>
        </w:rPr>
      </w:pPr>
      <w:r w:rsidRPr="00A44AF8">
        <w:rPr>
          <w:lang w:val="es-AR"/>
        </w:rPr>
        <w:t>Plazo para solicitar los beneficios</w:t>
      </w:r>
      <w:r w:rsidR="009651F1">
        <w:rPr>
          <w:lang w:val="es-AR"/>
        </w:rPr>
        <w:t xml:space="preserve"> desde el 29 de julio</w:t>
      </w:r>
      <w:r w:rsidRPr="00A44AF8">
        <w:rPr>
          <w:lang w:val="es-AR"/>
        </w:rPr>
        <w:t xml:space="preserve"> </w:t>
      </w:r>
      <w:r w:rsidRPr="0058594B">
        <w:rPr>
          <w:b/>
          <w:lang w:val="es-AR"/>
        </w:rPr>
        <w:t>hasta el 4 de agosto</w:t>
      </w:r>
      <w:r w:rsidRPr="00A44AF8">
        <w:rPr>
          <w:lang w:val="es-AR"/>
        </w:rPr>
        <w:t xml:space="preserve"> (R.G. 4779</w:t>
      </w:r>
      <w:r w:rsidR="009651F1">
        <w:rPr>
          <w:lang w:val="es-AR"/>
        </w:rPr>
        <w:t xml:space="preserve"> A.F.I.P.</w:t>
      </w:r>
      <w:r w:rsidRPr="00A44AF8">
        <w:rPr>
          <w:lang w:val="es-AR"/>
        </w:rPr>
        <w:t>)</w:t>
      </w:r>
      <w:r w:rsidR="0058594B">
        <w:rPr>
          <w:lang w:val="es-AR"/>
        </w:rPr>
        <w:t>.</w:t>
      </w:r>
    </w:p>
    <w:p w14:paraId="21CF5CC0" w14:textId="77777777" w:rsidR="00004EA8" w:rsidRDefault="00004EA8" w:rsidP="00004EA8">
      <w:pPr>
        <w:numPr>
          <w:ilvl w:val="0"/>
          <w:numId w:val="7"/>
        </w:numPr>
        <w:rPr>
          <w:lang w:val="es-AR"/>
        </w:rPr>
      </w:pPr>
      <w:r w:rsidRPr="00A44AF8">
        <w:rPr>
          <w:lang w:val="es-AR"/>
        </w:rPr>
        <w:t xml:space="preserve">Facturación Nominal </w:t>
      </w:r>
      <w:proofErr w:type="gramStart"/>
      <w:r w:rsidRPr="00A44AF8">
        <w:rPr>
          <w:lang w:val="es-AR"/>
        </w:rPr>
        <w:t>Junio</w:t>
      </w:r>
      <w:proofErr w:type="gramEnd"/>
      <w:r w:rsidRPr="00A44AF8">
        <w:rPr>
          <w:lang w:val="es-AR"/>
        </w:rPr>
        <w:t xml:space="preserve"> 2020 </w:t>
      </w:r>
      <w:r w:rsidRPr="00A44AF8">
        <w:rPr>
          <w:b/>
          <w:lang w:val="es-AR"/>
        </w:rPr>
        <w:t>menor</w:t>
      </w:r>
      <w:r w:rsidRPr="00A44AF8">
        <w:rPr>
          <w:lang w:val="es-AR"/>
        </w:rPr>
        <w:t xml:space="preserve"> a Junio 2019: Salario </w:t>
      </w:r>
      <w:r w:rsidR="00A44AF8" w:rsidRPr="00A44AF8">
        <w:rPr>
          <w:lang w:val="es-AR"/>
        </w:rPr>
        <w:t>Complementario y post</w:t>
      </w:r>
      <w:r w:rsidRPr="00A44AF8">
        <w:rPr>
          <w:lang w:val="es-AR"/>
        </w:rPr>
        <w:t>e</w:t>
      </w:r>
      <w:r w:rsidR="00A44AF8" w:rsidRPr="00A44AF8">
        <w:rPr>
          <w:lang w:val="es-AR"/>
        </w:rPr>
        <w:t>r</w:t>
      </w:r>
      <w:r w:rsidRPr="00A44AF8">
        <w:rPr>
          <w:lang w:val="es-AR"/>
        </w:rPr>
        <w:t>gación Contribuciones SIPA</w:t>
      </w:r>
      <w:r w:rsidR="00A44AF8" w:rsidRPr="00A44AF8">
        <w:rPr>
          <w:lang w:val="es-AR"/>
        </w:rPr>
        <w:t xml:space="preserve"> por Julio 2020, </w:t>
      </w:r>
      <w:r w:rsidR="00A44AF8" w:rsidRPr="00A44AF8">
        <w:rPr>
          <w:b/>
          <w:lang w:val="es-AR"/>
        </w:rPr>
        <w:t>cualquiera sea el número de trabajadores de la empresa</w:t>
      </w:r>
      <w:r w:rsidR="00A44AF8" w:rsidRPr="00A44AF8">
        <w:rPr>
          <w:lang w:val="es-AR"/>
        </w:rPr>
        <w:t xml:space="preserve">. Límite de Salario Complementario 1,5 Salario Mínimo Vital y Móvil </w:t>
      </w:r>
      <w:r w:rsidR="00A44AF8" w:rsidRPr="00A44AF8">
        <w:rPr>
          <w:b/>
          <w:lang w:val="es-AR"/>
        </w:rPr>
        <w:t>($ 25.312,50)</w:t>
      </w:r>
      <w:r w:rsidR="00A44AF8" w:rsidRPr="00A44AF8">
        <w:rPr>
          <w:lang w:val="es-AR"/>
        </w:rPr>
        <w:t>, sin distinción de zonas.</w:t>
      </w:r>
    </w:p>
    <w:p w14:paraId="2B2603B9" w14:textId="77777777" w:rsidR="00A44AF8" w:rsidRPr="00A44AF8" w:rsidRDefault="00A44AF8" w:rsidP="00004EA8">
      <w:pPr>
        <w:numPr>
          <w:ilvl w:val="0"/>
          <w:numId w:val="7"/>
        </w:numPr>
        <w:rPr>
          <w:lang w:val="es-AR"/>
        </w:rPr>
      </w:pPr>
      <w:r>
        <w:rPr>
          <w:lang w:val="es-AR"/>
        </w:rPr>
        <w:t xml:space="preserve">Facturación Nominal </w:t>
      </w:r>
      <w:proofErr w:type="gramStart"/>
      <w:r>
        <w:rPr>
          <w:lang w:val="es-AR"/>
        </w:rPr>
        <w:t>Junio</w:t>
      </w:r>
      <w:proofErr w:type="gramEnd"/>
      <w:r>
        <w:rPr>
          <w:lang w:val="es-AR"/>
        </w:rPr>
        <w:t xml:space="preserve"> 2020 </w:t>
      </w:r>
      <w:r w:rsidRPr="00A44AF8">
        <w:rPr>
          <w:b/>
          <w:lang w:val="es-AR"/>
        </w:rPr>
        <w:t>igual o mayor (hasta 30%)</w:t>
      </w:r>
      <w:r>
        <w:rPr>
          <w:lang w:val="es-AR"/>
        </w:rPr>
        <w:t xml:space="preserve"> a Junio 2019: </w:t>
      </w:r>
      <w:r w:rsidRPr="0058594B">
        <w:rPr>
          <w:b/>
          <w:lang w:val="es-AR"/>
        </w:rPr>
        <w:t>Crédito subsidiado</w:t>
      </w:r>
      <w:r w:rsidR="009651F1">
        <w:rPr>
          <w:b/>
          <w:lang w:val="es-AR"/>
        </w:rPr>
        <w:t xml:space="preserve"> (tasa 0%, 7,5 % o 15%, </w:t>
      </w:r>
      <w:r w:rsidR="0058594B" w:rsidRPr="009651F1">
        <w:rPr>
          <w:lang w:val="es-AR"/>
        </w:rPr>
        <w:t>según aumento nominal de la facturación</w:t>
      </w:r>
      <w:r w:rsidR="009651F1" w:rsidRPr="009651F1">
        <w:rPr>
          <w:lang w:val="es-AR"/>
        </w:rPr>
        <w:t xml:space="preserve"> sea igual y hasta 10%,</w:t>
      </w:r>
      <w:r w:rsidR="002D3DF3" w:rsidRPr="009651F1">
        <w:rPr>
          <w:lang w:val="es-AR"/>
        </w:rPr>
        <w:t xml:space="preserve"> 20% o 30 %</w:t>
      </w:r>
      <w:r w:rsidR="009651F1">
        <w:rPr>
          <w:lang w:val="es-AR"/>
        </w:rPr>
        <w:t>,</w:t>
      </w:r>
      <w:r w:rsidR="009651F1" w:rsidRPr="009651F1">
        <w:rPr>
          <w:lang w:val="es-AR"/>
        </w:rPr>
        <w:t xml:space="preserve"> respectivamente</w:t>
      </w:r>
      <w:r w:rsidR="0058594B" w:rsidRPr="009651F1">
        <w:rPr>
          <w:lang w:val="es-AR"/>
        </w:rPr>
        <w:t>)</w:t>
      </w:r>
      <w:r>
        <w:rPr>
          <w:lang w:val="es-AR"/>
        </w:rPr>
        <w:t xml:space="preserve"> </w:t>
      </w:r>
      <w:r w:rsidRPr="00A44AF8">
        <w:rPr>
          <w:b/>
          <w:lang w:val="es-AR"/>
        </w:rPr>
        <w:t xml:space="preserve">para </w:t>
      </w:r>
      <w:r w:rsidRPr="0058594B">
        <w:rPr>
          <w:b/>
          <w:u w:val="single"/>
          <w:lang w:val="es-AR"/>
        </w:rPr>
        <w:t xml:space="preserve">empresas </w:t>
      </w:r>
      <w:r w:rsidR="007148FE">
        <w:rPr>
          <w:b/>
          <w:u w:val="single"/>
          <w:lang w:val="es-AR"/>
        </w:rPr>
        <w:t xml:space="preserve">de menos de </w:t>
      </w:r>
      <w:r w:rsidRPr="0058594B">
        <w:rPr>
          <w:b/>
          <w:u w:val="single"/>
          <w:lang w:val="es-AR"/>
        </w:rPr>
        <w:t>800 trabajadores</w:t>
      </w:r>
      <w:r>
        <w:rPr>
          <w:b/>
          <w:lang w:val="es-AR"/>
        </w:rPr>
        <w:t>. Se de</w:t>
      </w:r>
      <w:r w:rsidR="00025A02">
        <w:rPr>
          <w:b/>
          <w:lang w:val="es-AR"/>
        </w:rPr>
        <w:t>berá</w:t>
      </w:r>
      <w:r w:rsidR="00025A02" w:rsidRPr="00025A02">
        <w:rPr>
          <w:b/>
        </w:rPr>
        <w:t xml:space="preserve"> </w:t>
      </w:r>
      <w:r w:rsidR="00025A02">
        <w:rPr>
          <w:b/>
        </w:rPr>
        <w:t>garantizar</w:t>
      </w:r>
      <w:r w:rsidR="00025A02" w:rsidRPr="00F27182">
        <w:rPr>
          <w:b/>
        </w:rPr>
        <w:t xml:space="preserve"> que los fondos consecuencia del Crédito a Tasa Subsidiada serán efectiva y exclusivamente acreditados en la</w:t>
      </w:r>
      <w:r w:rsidR="00025A02">
        <w:rPr>
          <w:b/>
        </w:rPr>
        <w:t xml:space="preserve">s cuentas </w:t>
      </w:r>
      <w:proofErr w:type="gramStart"/>
      <w:r w:rsidR="00025A02">
        <w:rPr>
          <w:b/>
        </w:rPr>
        <w:t xml:space="preserve">de  </w:t>
      </w:r>
      <w:r w:rsidR="00025A02" w:rsidRPr="00F27182">
        <w:rPr>
          <w:b/>
        </w:rPr>
        <w:t>los</w:t>
      </w:r>
      <w:proofErr w:type="gramEnd"/>
      <w:r w:rsidR="00025A02" w:rsidRPr="00F27182">
        <w:rPr>
          <w:b/>
        </w:rPr>
        <w:t xml:space="preserve"> trabajadores</w:t>
      </w:r>
      <w:r w:rsidR="00025A02">
        <w:rPr>
          <w:b/>
        </w:rPr>
        <w:t>. Será de h</w:t>
      </w:r>
      <w:proofErr w:type="spellStart"/>
      <w:r w:rsidR="0058594B">
        <w:rPr>
          <w:b/>
          <w:lang w:val="es-AR"/>
        </w:rPr>
        <w:t>asta</w:t>
      </w:r>
      <w:proofErr w:type="spellEnd"/>
      <w:r w:rsidR="0058594B">
        <w:rPr>
          <w:b/>
          <w:lang w:val="es-AR"/>
        </w:rPr>
        <w:t xml:space="preserve"> $ 20.250 por cada trabajador que integre la nómina al 31 de mayo.</w:t>
      </w:r>
    </w:p>
    <w:p w14:paraId="6C699F1B" w14:textId="77777777" w:rsidR="0058594B" w:rsidRDefault="00A44AF8" w:rsidP="00004EA8">
      <w:pPr>
        <w:numPr>
          <w:ilvl w:val="0"/>
          <w:numId w:val="7"/>
        </w:numPr>
        <w:rPr>
          <w:lang w:val="es-AR"/>
        </w:rPr>
      </w:pPr>
      <w:r>
        <w:rPr>
          <w:lang w:val="es-AR"/>
        </w:rPr>
        <w:t xml:space="preserve">Extensión hasta Septiembre del Crédito a tasa 0 para </w:t>
      </w:r>
      <w:proofErr w:type="spellStart"/>
      <w:r>
        <w:rPr>
          <w:lang w:val="es-AR"/>
        </w:rPr>
        <w:t>monotributistas</w:t>
      </w:r>
      <w:proofErr w:type="spellEnd"/>
      <w:r>
        <w:rPr>
          <w:lang w:val="es-AR"/>
        </w:rPr>
        <w:t xml:space="preserve"> y autónomos</w:t>
      </w:r>
    </w:p>
    <w:p w14:paraId="2B09B2EA" w14:textId="77777777" w:rsidR="0058594B" w:rsidRDefault="0058594B" w:rsidP="0058594B">
      <w:pPr>
        <w:rPr>
          <w:lang w:val="es-AR"/>
        </w:rPr>
      </w:pPr>
    </w:p>
    <w:p w14:paraId="2E218843" w14:textId="77777777" w:rsidR="0058594B" w:rsidRDefault="0058594B" w:rsidP="0058594B">
      <w:pPr>
        <w:rPr>
          <w:lang w:val="es-AR"/>
        </w:rPr>
      </w:pPr>
      <w:r>
        <w:rPr>
          <w:lang w:val="es-AR"/>
        </w:rPr>
        <w:t>Hacemos la previa aclaración</w:t>
      </w:r>
      <w:r w:rsidR="005950E7">
        <w:rPr>
          <w:lang w:val="es-AR"/>
        </w:rPr>
        <w:t xml:space="preserve"> de</w:t>
      </w:r>
      <w:r>
        <w:rPr>
          <w:lang w:val="es-AR"/>
        </w:rPr>
        <w:t xml:space="preserve"> que el informe en ningún momento se </w:t>
      </w:r>
      <w:proofErr w:type="gramStart"/>
      <w:r>
        <w:rPr>
          <w:lang w:val="es-AR"/>
        </w:rPr>
        <w:t>referirá  a</w:t>
      </w:r>
      <w:proofErr w:type="gramEnd"/>
      <w:r>
        <w:rPr>
          <w:lang w:val="es-AR"/>
        </w:rPr>
        <w:t xml:space="preserve"> las actividades críticas, por no estar incluidas como tales las del sector transporte que nos agrupa.</w:t>
      </w:r>
    </w:p>
    <w:p w14:paraId="5775303B" w14:textId="77777777" w:rsidR="0058594B" w:rsidRDefault="0058594B" w:rsidP="0058594B">
      <w:pPr>
        <w:rPr>
          <w:lang w:val="es-AR"/>
        </w:rPr>
      </w:pPr>
    </w:p>
    <w:p w14:paraId="45C8229F" w14:textId="77777777" w:rsidR="0058594B" w:rsidRDefault="0058594B" w:rsidP="0058594B">
      <w:pPr>
        <w:rPr>
          <w:lang w:val="es-AR"/>
        </w:rPr>
      </w:pPr>
      <w:r>
        <w:rPr>
          <w:lang w:val="es-AR"/>
        </w:rPr>
        <w:t xml:space="preserve">Como habíamos informado </w:t>
      </w:r>
      <w:r w:rsidR="005950E7">
        <w:rPr>
          <w:lang w:val="es-AR"/>
        </w:rPr>
        <w:t xml:space="preserve">en la Circular 215 del departamento de Estudios Tributarios </w:t>
      </w:r>
      <w:r w:rsidR="00C771E0">
        <w:rPr>
          <w:lang w:val="es-AR"/>
        </w:rPr>
        <w:t>el Decreto</w:t>
      </w:r>
      <w:r>
        <w:rPr>
          <w:lang w:val="es-AR"/>
        </w:rPr>
        <w:t xml:space="preserve"> de Necesidad y Urgencia</w:t>
      </w:r>
      <w:r w:rsidR="00C771E0">
        <w:rPr>
          <w:lang w:val="es-AR"/>
        </w:rPr>
        <w:t xml:space="preserve"> 332/2020 </w:t>
      </w:r>
      <w:r w:rsidR="005950E7">
        <w:rPr>
          <w:lang w:val="es-AR"/>
        </w:rPr>
        <w:t xml:space="preserve">fue modificado </w:t>
      </w:r>
      <w:r w:rsidR="00C771E0">
        <w:rPr>
          <w:lang w:val="es-AR"/>
        </w:rPr>
        <w:t xml:space="preserve">por su similar 621/2020, </w:t>
      </w:r>
      <w:r>
        <w:rPr>
          <w:lang w:val="es-AR"/>
        </w:rPr>
        <w:t>fijando el marco para lo dispuesto por la Decisión Administrativa que nos ocupa</w:t>
      </w:r>
      <w:r w:rsidR="00221DEA">
        <w:rPr>
          <w:lang w:val="es-AR"/>
        </w:rPr>
        <w:t>, s</w:t>
      </w:r>
      <w:r w:rsidR="005950E7">
        <w:rPr>
          <w:lang w:val="es-AR"/>
        </w:rPr>
        <w:t>egún recomendaciones del Acta</w:t>
      </w:r>
      <w:r w:rsidR="00221DEA">
        <w:rPr>
          <w:lang w:val="es-AR"/>
        </w:rPr>
        <w:t xml:space="preserve"> 19 del Comité de Evaluación y Monitoreo del Programa de Asistencia de Emergencia</w:t>
      </w:r>
      <w:r>
        <w:rPr>
          <w:lang w:val="es-AR"/>
        </w:rPr>
        <w:t xml:space="preserve"> </w:t>
      </w:r>
      <w:r w:rsidR="00221DEA">
        <w:rPr>
          <w:lang w:val="es-AR"/>
        </w:rPr>
        <w:t>al Trabajo y la Producción.</w:t>
      </w:r>
    </w:p>
    <w:p w14:paraId="29E509C6" w14:textId="77777777" w:rsidR="00221DEA" w:rsidRDefault="00221DEA" w:rsidP="0058594B">
      <w:pPr>
        <w:rPr>
          <w:lang w:val="es-AR"/>
        </w:rPr>
      </w:pPr>
    </w:p>
    <w:p w14:paraId="52B4CCDE" w14:textId="77777777" w:rsidR="00221DEA" w:rsidRDefault="00221DEA" w:rsidP="0058594B">
      <w:pPr>
        <w:rPr>
          <w:lang w:val="es-AR"/>
        </w:rPr>
      </w:pPr>
      <w:r>
        <w:rPr>
          <w:lang w:val="es-AR"/>
        </w:rPr>
        <w:t xml:space="preserve">Como también </w:t>
      </w:r>
      <w:proofErr w:type="gramStart"/>
      <w:r>
        <w:rPr>
          <w:lang w:val="es-AR"/>
        </w:rPr>
        <w:t>adelantamos</w:t>
      </w:r>
      <w:r w:rsidR="005950E7">
        <w:rPr>
          <w:lang w:val="es-AR"/>
        </w:rPr>
        <w:t xml:space="preserve">, </w:t>
      </w:r>
      <w:r>
        <w:rPr>
          <w:lang w:val="es-AR"/>
        </w:rPr>
        <w:t xml:space="preserve"> la</w:t>
      </w:r>
      <w:proofErr w:type="gramEnd"/>
      <w:r>
        <w:rPr>
          <w:lang w:val="es-AR"/>
        </w:rPr>
        <w:t xml:space="preserve"> medición para analizar los beneficios a los que se puede acceder se hace sobre val</w:t>
      </w:r>
      <w:r w:rsidR="00C771E0">
        <w:rPr>
          <w:lang w:val="es-AR"/>
        </w:rPr>
        <w:t>ores nominales, aunque el límite</w:t>
      </w:r>
      <w:r>
        <w:rPr>
          <w:lang w:val="es-AR"/>
        </w:rPr>
        <w:t xml:space="preserve"> para tomar decisiones en el texto actualizado del Decreto de Necesidad y Urgencia 332/2020 </w:t>
      </w:r>
      <w:r w:rsidR="00C771E0">
        <w:rPr>
          <w:lang w:val="es-AR"/>
        </w:rPr>
        <w:t>está referido</w:t>
      </w:r>
      <w:r>
        <w:rPr>
          <w:lang w:val="es-AR"/>
        </w:rPr>
        <w:t xml:space="preserve"> al “real” aumento de la facturación, lo que posibilita que se incluya el crédito a tasa subsidiada con aumento de hasta el 30 % que, inflación mediante, no representa un incremento en términos reales.</w:t>
      </w:r>
    </w:p>
    <w:p w14:paraId="7D24359D" w14:textId="77777777" w:rsidR="00221DEA" w:rsidRDefault="00221DEA" w:rsidP="0058594B">
      <w:pPr>
        <w:rPr>
          <w:lang w:val="es-AR"/>
        </w:rPr>
      </w:pPr>
    </w:p>
    <w:p w14:paraId="7129C77C" w14:textId="77777777" w:rsidR="00221DEA" w:rsidRDefault="00221DEA" w:rsidP="00C771E0">
      <w:pPr>
        <w:rPr>
          <w:lang w:val="es-AR"/>
        </w:rPr>
      </w:pPr>
      <w:r>
        <w:rPr>
          <w:lang w:val="es-AR"/>
        </w:rPr>
        <w:t xml:space="preserve">También quisimos dejar sentado en </w:t>
      </w:r>
      <w:r w:rsidR="004454F8">
        <w:rPr>
          <w:lang w:val="es-AR"/>
        </w:rPr>
        <w:t>los puntos esenciales de este trabajo</w:t>
      </w:r>
      <w:r w:rsidR="00C771E0">
        <w:rPr>
          <w:lang w:val="es-AR"/>
        </w:rPr>
        <w:t>,</w:t>
      </w:r>
      <w:r w:rsidR="004454F8">
        <w:rPr>
          <w:lang w:val="es-AR"/>
        </w:rPr>
        <w:t xml:space="preserve"> esbozados al principio</w:t>
      </w:r>
      <w:r w:rsidR="00C771E0">
        <w:rPr>
          <w:lang w:val="es-AR"/>
        </w:rPr>
        <w:t>,</w:t>
      </w:r>
      <w:r w:rsidR="004454F8">
        <w:rPr>
          <w:lang w:val="es-AR"/>
        </w:rPr>
        <w:t xml:space="preserve"> que se accede a los beneficios de Salario Complemen</w:t>
      </w:r>
      <w:r w:rsidR="005950E7">
        <w:rPr>
          <w:lang w:val="es-AR"/>
        </w:rPr>
        <w:t>tario</w:t>
      </w:r>
      <w:r w:rsidR="004454F8">
        <w:rPr>
          <w:lang w:val="es-AR"/>
        </w:rPr>
        <w:t xml:space="preserve"> junto a postergación de Contribuciones SIPA (menores ventas), por un </w:t>
      </w:r>
      <w:proofErr w:type="gramStart"/>
      <w:r w:rsidR="004454F8">
        <w:rPr>
          <w:lang w:val="es-AR"/>
        </w:rPr>
        <w:t>lado;  o</w:t>
      </w:r>
      <w:proofErr w:type="gramEnd"/>
      <w:r w:rsidR="004454F8">
        <w:rPr>
          <w:lang w:val="es-AR"/>
        </w:rPr>
        <w:t xml:space="preserve"> al Crédito a Tasa Subsidiada, este último limitado a empresas de </w:t>
      </w:r>
      <w:r w:rsidR="004454F8">
        <w:rPr>
          <w:lang w:val="es-AR"/>
        </w:rPr>
        <w:lastRenderedPageBreak/>
        <w:t xml:space="preserve">menos </w:t>
      </w:r>
      <w:r w:rsidR="00C771E0">
        <w:rPr>
          <w:lang w:val="es-AR"/>
        </w:rPr>
        <w:t>de 800 trabajadores,</w:t>
      </w:r>
      <w:r w:rsidR="005950E7">
        <w:rPr>
          <w:lang w:val="es-AR"/>
        </w:rPr>
        <w:t xml:space="preserve"> por el otro. Nunca a ambos</w:t>
      </w:r>
      <w:r w:rsidR="00C771E0">
        <w:rPr>
          <w:lang w:val="es-AR"/>
        </w:rPr>
        <w:t>.</w:t>
      </w:r>
    </w:p>
    <w:p w14:paraId="6AD6DF33" w14:textId="77777777" w:rsidR="008D303E" w:rsidRDefault="008D303E" w:rsidP="00C771E0">
      <w:pPr>
        <w:rPr>
          <w:lang w:val="es-AR"/>
        </w:rPr>
      </w:pPr>
    </w:p>
    <w:p w14:paraId="503D8ACF" w14:textId="77777777" w:rsidR="00C771E0" w:rsidRPr="007148FE" w:rsidRDefault="00C771E0" w:rsidP="00C771E0">
      <w:pPr>
        <w:rPr>
          <w:b/>
          <w:u w:val="single"/>
          <w:lang w:val="es-AR"/>
        </w:rPr>
      </w:pPr>
      <w:r w:rsidRPr="007148FE">
        <w:rPr>
          <w:b/>
          <w:u w:val="single"/>
          <w:lang w:val="es-AR"/>
        </w:rPr>
        <w:t>Salario Complementario y Postergación Contribuciones SIPA por Julio 2020 (puntos 4.2 y 4.3 del Acta N° 19)</w:t>
      </w:r>
    </w:p>
    <w:p w14:paraId="6402F499" w14:textId="77777777" w:rsidR="00C771E0" w:rsidRDefault="00C771E0" w:rsidP="0058594B"/>
    <w:p w14:paraId="606E83C5" w14:textId="77777777" w:rsidR="0018216D" w:rsidRDefault="00C771E0" w:rsidP="0058594B">
      <w:r>
        <w:t>A</w:t>
      </w:r>
      <w:r w:rsidRPr="00C771E0">
        <w:t xml:space="preserve"> diferencia de lo que ocurrió para el período devengado junio de 2020, </w:t>
      </w:r>
      <w:r>
        <w:t xml:space="preserve">ya no se vincula </w:t>
      </w:r>
      <w:r w:rsidRPr="00C771E0">
        <w:t xml:space="preserve">el monto del beneficio del Salario Complementario con el lugar de desarrollo de la actividad </w:t>
      </w:r>
      <w:r w:rsidR="00F85ADE">
        <w:t>(</w:t>
      </w:r>
      <w:r w:rsidRPr="00C771E0">
        <w:t>al 12 de marzo de 2020</w:t>
      </w:r>
      <w:r w:rsidR="00F85ADE">
        <w:t>)</w:t>
      </w:r>
      <w:r w:rsidRPr="00C771E0">
        <w:t xml:space="preserve"> por parte de los trabajadores y trabaja</w:t>
      </w:r>
      <w:r w:rsidR="0018216D">
        <w:t>doras de la empresa solicitante, o sea ya no existe una diferenciación según las tar</w:t>
      </w:r>
      <w:r w:rsidR="00F85ADE">
        <w:t>eas se desarrollen en zonas de Aislamiento (ASPO) o D</w:t>
      </w:r>
      <w:r w:rsidR="0018216D">
        <w:t>istanciamiento</w:t>
      </w:r>
      <w:r w:rsidR="00F85ADE">
        <w:t xml:space="preserve"> (DISPO)</w:t>
      </w:r>
      <w:r w:rsidR="0018216D">
        <w:t>.</w:t>
      </w:r>
      <w:r w:rsidRPr="00C771E0">
        <w:t xml:space="preserve"> </w:t>
      </w:r>
    </w:p>
    <w:p w14:paraId="0AC215E1" w14:textId="77777777" w:rsidR="0018216D" w:rsidRDefault="0018216D" w:rsidP="0058594B"/>
    <w:p w14:paraId="52CE0F23" w14:textId="77777777" w:rsidR="0018216D" w:rsidRDefault="0018216D" w:rsidP="0058594B">
      <w:r>
        <w:t>E</w:t>
      </w:r>
      <w:r w:rsidR="00C771E0" w:rsidRPr="00C771E0">
        <w:t xml:space="preserve">l beneficio </w:t>
      </w:r>
      <w:r>
        <w:t xml:space="preserve">sigue correspondiendo por las </w:t>
      </w:r>
      <w:proofErr w:type="gramStart"/>
      <w:r>
        <w:t xml:space="preserve">actividades </w:t>
      </w:r>
      <w:r w:rsidR="00C771E0" w:rsidRPr="00C771E0">
        <w:t xml:space="preserve"> incluidas</w:t>
      </w:r>
      <w:proofErr w:type="gramEnd"/>
      <w:r w:rsidR="00C771E0" w:rsidRPr="00C771E0">
        <w:t xml:space="preserve"> en las Actas del Comité</w:t>
      </w:r>
      <w:r>
        <w:t>.</w:t>
      </w:r>
      <w:r w:rsidR="00C771E0" w:rsidRPr="00C771E0">
        <w:t xml:space="preserve"> </w:t>
      </w:r>
      <w:r>
        <w:t xml:space="preserve">La novedad en este caso es que se ubica el límite superior del beneficio en 1,5 veces el Salario Mínimo Vital y Móvil, por lo que en definitiva el monto será menor con respecto a junio para los trabajadores en zona de Aislamiento y mayor para los trabajadores en zona de Distanciamiento Social, Preventivo y Obligatorio. </w:t>
      </w:r>
      <w:r w:rsidR="00F85ADE">
        <w:t xml:space="preserve">Por haber sido mayor el número de trabajadores en zona de Aislamiento, la ecuación resulta favorable al Estado en cuanto a que globalmente la ayuda será menos </w:t>
      </w:r>
      <w:proofErr w:type="gramStart"/>
      <w:r w:rsidR="00F85ADE">
        <w:t>en relación a</w:t>
      </w:r>
      <w:proofErr w:type="gramEnd"/>
      <w:r w:rsidR="00F85ADE">
        <w:t xml:space="preserve"> este aspecto).</w:t>
      </w:r>
    </w:p>
    <w:p w14:paraId="4627869C" w14:textId="77777777" w:rsidR="0018216D" w:rsidRDefault="0018216D" w:rsidP="0058594B"/>
    <w:p w14:paraId="7563E0CA" w14:textId="77777777" w:rsidR="0018216D" w:rsidRDefault="0018216D" w:rsidP="0058594B">
      <w:r>
        <w:t>La otra gran novedad viene dada por aplicarse sólo en el caso de variación nominal de facturación negativa (o sea menor venta nominal de junio de 2020 con respecto a junio de 2019), cuando para los períodos anteriores se permitía hasta un 5 % de aumento nominal.</w:t>
      </w:r>
    </w:p>
    <w:p w14:paraId="13B3A896" w14:textId="77777777" w:rsidR="0018216D" w:rsidRDefault="0018216D" w:rsidP="0058594B"/>
    <w:p w14:paraId="6E573810" w14:textId="77777777" w:rsidR="001E2646" w:rsidRDefault="0018216D" w:rsidP="0058594B">
      <w:r>
        <w:t xml:space="preserve">En el caso de las empresas que </w:t>
      </w:r>
      <w:r w:rsidR="001E2646" w:rsidRPr="00C771E0">
        <w:t>iniciaron sus actividades entre el 1° de enero de 2019 y el 30 de noviembre de 2019, la comparación de la facturación del mes de junio de 2020 d</w:t>
      </w:r>
      <w:r w:rsidR="001E2646">
        <w:t>ebe</w:t>
      </w:r>
      <w:r w:rsidR="001E2646" w:rsidRPr="00C771E0">
        <w:t xml:space="preserve"> hacerse con la del mes de diciembre de 2019.</w:t>
      </w:r>
    </w:p>
    <w:p w14:paraId="230EB926" w14:textId="77777777" w:rsidR="001E2646" w:rsidRDefault="001E2646" w:rsidP="0058594B"/>
    <w:p w14:paraId="06E199AF" w14:textId="77777777" w:rsidR="001E2646" w:rsidRDefault="001E2646" w:rsidP="0058594B">
      <w:r>
        <w:t>C</w:t>
      </w:r>
      <w:r w:rsidRPr="00C771E0">
        <w:t xml:space="preserve">on relación a las empresas que iniciaron su actividad a partir del 1º de diciembre de 2019 no se considerará la variación de facturación para la obtención del beneficio del Salario Complementario. </w:t>
      </w:r>
    </w:p>
    <w:p w14:paraId="17D18EDE" w14:textId="77777777" w:rsidR="001E2646" w:rsidRDefault="001E2646" w:rsidP="0058594B"/>
    <w:p w14:paraId="5D628847" w14:textId="77777777" w:rsidR="001E2646" w:rsidRDefault="001E2646" w:rsidP="0058594B">
      <w:r>
        <w:t>Por otra parte, a</w:t>
      </w:r>
      <w:r w:rsidRPr="00C771E0">
        <w:t xml:space="preserve">l efecto del cómputo de la plantilla de personal deberán detraerse </w:t>
      </w:r>
      <w:r w:rsidRPr="001E2646">
        <w:rPr>
          <w:b/>
        </w:rPr>
        <w:t>las extinciones de las relaciones laborales ocurridas hasta el 27 de julio</w:t>
      </w:r>
      <w:r>
        <w:t xml:space="preserve"> de 2020, inclusive, o sea que estos trabajadores no percibirán el beneficio.</w:t>
      </w:r>
    </w:p>
    <w:p w14:paraId="2812FD63" w14:textId="77777777" w:rsidR="001E2646" w:rsidRDefault="001E2646" w:rsidP="0058594B"/>
    <w:p w14:paraId="7B8F8086" w14:textId="77777777" w:rsidR="0018216D" w:rsidRDefault="001E2646" w:rsidP="0058594B">
      <w:r>
        <w:t>Tampoco hay cambio con respecto a la exclusión de</w:t>
      </w:r>
      <w:r w:rsidRPr="00C771E0">
        <w:t xml:space="preserve"> los trabajadores cuya remuneración bruta devengada en el mes de mayo de 2020 supere la sum</w:t>
      </w:r>
      <w:r>
        <w:t>a de $ 140.000.-</w:t>
      </w:r>
    </w:p>
    <w:p w14:paraId="4B429269" w14:textId="77777777" w:rsidR="001E2646" w:rsidRDefault="001E2646" w:rsidP="0058594B"/>
    <w:p w14:paraId="53F79831" w14:textId="77777777" w:rsidR="001E2646" w:rsidRDefault="001E2646" w:rsidP="0058594B">
      <w:r>
        <w:t xml:space="preserve">A </w:t>
      </w:r>
      <w:proofErr w:type="gramStart"/>
      <w:r>
        <w:t>continuación</w:t>
      </w:r>
      <w:proofErr w:type="gramEnd"/>
      <w:r>
        <w:t xml:space="preserve"> la forma en que se calculará el beneficio por cada trabaj</w:t>
      </w:r>
      <w:r w:rsidR="00276F59">
        <w:t>a</w:t>
      </w:r>
      <w:r>
        <w:t>dor:</w:t>
      </w:r>
    </w:p>
    <w:p w14:paraId="5C9665AB" w14:textId="77777777" w:rsidR="0018216D" w:rsidRDefault="0018216D" w:rsidP="0058594B"/>
    <w:p w14:paraId="10C7311C" w14:textId="77777777" w:rsidR="0018216D" w:rsidRDefault="00C771E0" w:rsidP="0058594B">
      <w:pPr>
        <w:numPr>
          <w:ilvl w:val="0"/>
          <w:numId w:val="8"/>
        </w:numPr>
      </w:pPr>
      <w:r w:rsidRPr="00C771E0">
        <w:t xml:space="preserve">El Salario Neto </w:t>
      </w:r>
      <w:r w:rsidR="0018216D">
        <w:t xml:space="preserve">que se tomará como base para el cálculo </w:t>
      </w:r>
      <w:r w:rsidRPr="00C771E0">
        <w:t xml:space="preserve">resulta equivalente al 83% de la </w:t>
      </w:r>
      <w:r w:rsidRPr="001E2646">
        <w:rPr>
          <w:b/>
        </w:rPr>
        <w:t xml:space="preserve">Remuneración Bruta devengada en el mes de </w:t>
      </w:r>
      <w:r w:rsidRPr="001E2646">
        <w:rPr>
          <w:b/>
        </w:rPr>
        <w:lastRenderedPageBreak/>
        <w:t>mayo de 2020</w:t>
      </w:r>
      <w:r w:rsidR="001E2646">
        <w:t>.</w:t>
      </w:r>
    </w:p>
    <w:p w14:paraId="44B3A66F" w14:textId="77777777" w:rsidR="0018216D" w:rsidRDefault="00C771E0" w:rsidP="0018216D">
      <w:pPr>
        <w:numPr>
          <w:ilvl w:val="0"/>
          <w:numId w:val="8"/>
        </w:numPr>
      </w:pPr>
      <w:proofErr w:type="gramStart"/>
      <w:r w:rsidRPr="00C771E0">
        <w:t>El Salario Complementario a asignar</w:t>
      </w:r>
      <w:proofErr w:type="gramEnd"/>
      <w:r w:rsidRPr="00C771E0">
        <w:t xml:space="preserve"> como beneficio debe resultar equivalente al 50% del Salario Neto expuesto en el apartado i)</w:t>
      </w:r>
    </w:p>
    <w:p w14:paraId="3B04D10F" w14:textId="77777777" w:rsidR="001E2646" w:rsidRPr="007D17EF" w:rsidRDefault="00C771E0" w:rsidP="0018216D">
      <w:pPr>
        <w:numPr>
          <w:ilvl w:val="0"/>
          <w:numId w:val="8"/>
        </w:numPr>
        <w:rPr>
          <w:lang w:val="es-AR"/>
        </w:rPr>
      </w:pPr>
      <w:r w:rsidRPr="00C771E0">
        <w:t>El resultado así obtenido no podrá ser superior a la suma equivalente a UNO Y MEDIO (1,5) salarios mínimos vitales y móviles</w:t>
      </w:r>
      <w:r w:rsidR="00A275FB">
        <w:t xml:space="preserve"> </w:t>
      </w:r>
      <w:r w:rsidR="00A275FB">
        <w:rPr>
          <w:b/>
        </w:rPr>
        <w:t>($ 25</w:t>
      </w:r>
      <w:r w:rsidR="00A275FB" w:rsidRPr="00A275FB">
        <w:rPr>
          <w:b/>
        </w:rPr>
        <w:t>.312,50</w:t>
      </w:r>
      <w:r w:rsidR="00A275FB">
        <w:t>)</w:t>
      </w:r>
      <w:r w:rsidRPr="00C771E0">
        <w:t xml:space="preserve">. </w:t>
      </w:r>
      <w:r w:rsidR="007D17EF" w:rsidRPr="007D17EF">
        <w:rPr>
          <w:b/>
        </w:rPr>
        <w:t xml:space="preserve">En este caso no hay límite inferior, otra diferencia con </w:t>
      </w:r>
      <w:r w:rsidR="007D17EF">
        <w:rPr>
          <w:b/>
        </w:rPr>
        <w:t>respecto a versiones anteriores</w:t>
      </w:r>
      <w:r w:rsidR="0005686C">
        <w:t>, donde</w:t>
      </w:r>
      <w:r w:rsidR="007D17EF">
        <w:t xml:space="preserve"> era un salario mínimo vital y móvil</w:t>
      </w:r>
      <w:r w:rsidR="007D17EF">
        <w:rPr>
          <w:b/>
        </w:rPr>
        <w:t>,</w:t>
      </w:r>
      <w:r w:rsidR="0005686C">
        <w:rPr>
          <w:b/>
        </w:rPr>
        <w:t xml:space="preserve"> </w:t>
      </w:r>
      <w:proofErr w:type="gramStart"/>
      <w:r w:rsidR="0005686C" w:rsidRPr="0005686C">
        <w:t>aunque</w:t>
      </w:r>
      <w:r w:rsidR="0005686C">
        <w:rPr>
          <w:b/>
        </w:rPr>
        <w:t xml:space="preserve"> </w:t>
      </w:r>
      <w:r w:rsidR="007D17EF">
        <w:rPr>
          <w:b/>
        </w:rPr>
        <w:t xml:space="preserve"> </w:t>
      </w:r>
      <w:r w:rsidR="007D17EF">
        <w:t>no</w:t>
      </w:r>
      <w:proofErr w:type="gramEnd"/>
      <w:r w:rsidR="007D17EF">
        <w:t xml:space="preserve"> sabemos si trata de un error de copiado (creemos que no) porque el siguiente punto iv no tendría aplicación en ningún caso (antes sólo en el caso de trabajo a tiempo parcial).</w:t>
      </w:r>
    </w:p>
    <w:p w14:paraId="42D4F308" w14:textId="77777777" w:rsidR="0058594B" w:rsidRPr="000A6208" w:rsidRDefault="001E2646" w:rsidP="0058594B">
      <w:pPr>
        <w:numPr>
          <w:ilvl w:val="0"/>
          <w:numId w:val="8"/>
        </w:numPr>
        <w:rPr>
          <w:lang w:val="es-AR"/>
        </w:rPr>
      </w:pPr>
      <w:r>
        <w:t xml:space="preserve"> </w:t>
      </w:r>
      <w:r w:rsidR="00C771E0" w:rsidRPr="00C771E0">
        <w:t xml:space="preserve">La suma del Salario Complementario </w:t>
      </w:r>
      <w:proofErr w:type="gramStart"/>
      <w:r w:rsidR="00C771E0" w:rsidRPr="00C771E0">
        <w:t>de acuerdo al</w:t>
      </w:r>
      <w:proofErr w:type="gramEnd"/>
      <w:r w:rsidR="00C771E0" w:rsidRPr="00C771E0">
        <w:t xml:space="preserve"> punto iii) no podrá arrojar como resultado que el trabajador obtenga un beneficio, por el concepto en trato, superior a su Salario Neto corresp</w:t>
      </w:r>
      <w:r w:rsidR="00276F59">
        <w:t>ondiente al mes de mayo de 2020, situación que en términos generales sólo se presentaría con trabajadores a tiempo parcial.</w:t>
      </w:r>
    </w:p>
    <w:p w14:paraId="7E7C57CA" w14:textId="77777777" w:rsidR="000A6208" w:rsidRDefault="000A6208" w:rsidP="000A6208"/>
    <w:p w14:paraId="0340D114" w14:textId="77777777" w:rsidR="000A6208" w:rsidRDefault="000A6208" w:rsidP="000A6208">
      <w:r>
        <w:t>Vale aclarar que para los trabajadores con pluriempleo el límite superior continúa en 2 salarios mínimos, vitales y móviles (punto 6 del Acta 19), que debe distribuirse proporcionalmente considerando las remuneraciones brutas abonadas por cada empleador que haya sido seleccionado para acceder al beneficio en cuestión.</w:t>
      </w:r>
    </w:p>
    <w:p w14:paraId="68A1A6EF" w14:textId="77777777" w:rsidR="007148FE" w:rsidRDefault="007148FE" w:rsidP="000A6208"/>
    <w:p w14:paraId="1C8E0149" w14:textId="77777777" w:rsidR="006B356B" w:rsidRDefault="006B356B" w:rsidP="000A6208">
      <w:pPr>
        <w:rPr>
          <w:lang w:val="es-AR"/>
        </w:rPr>
      </w:pPr>
    </w:p>
    <w:p w14:paraId="0ED40B90" w14:textId="77777777" w:rsidR="007148FE" w:rsidRPr="007148FE" w:rsidRDefault="007148FE" w:rsidP="000A6208">
      <w:pPr>
        <w:rPr>
          <w:b/>
          <w:u w:val="single"/>
          <w:lang w:val="es-AR"/>
        </w:rPr>
      </w:pPr>
      <w:r w:rsidRPr="007148FE">
        <w:rPr>
          <w:b/>
          <w:u w:val="single"/>
          <w:lang w:val="es-AR"/>
        </w:rPr>
        <w:t>Crédito a tasa subsidiada (punto 5 del Acta N° 19)</w:t>
      </w:r>
    </w:p>
    <w:p w14:paraId="77CC5612" w14:textId="77777777" w:rsidR="007148FE" w:rsidRDefault="007148FE" w:rsidP="000A6208">
      <w:pPr>
        <w:rPr>
          <w:lang w:val="es-AR"/>
        </w:rPr>
      </w:pPr>
    </w:p>
    <w:p w14:paraId="750EEAAB" w14:textId="77777777" w:rsidR="00CF2862" w:rsidRPr="00CF2862" w:rsidRDefault="00CF2862" w:rsidP="000A6208">
      <w:pPr>
        <w:rPr>
          <w:b/>
        </w:rPr>
      </w:pPr>
      <w:r w:rsidRPr="00CF2862">
        <w:rPr>
          <w:b/>
        </w:rPr>
        <w:t>BENEFICIARIOS</w:t>
      </w:r>
    </w:p>
    <w:p w14:paraId="584DA552" w14:textId="77777777" w:rsidR="00CF2862" w:rsidRDefault="00CF2862" w:rsidP="000A6208"/>
    <w:p w14:paraId="35CC16BA" w14:textId="77777777" w:rsidR="00CF2862" w:rsidRDefault="00CF2862" w:rsidP="000A6208">
      <w:r w:rsidRPr="00CF2862">
        <w:t>El beneficio corresponde a los supuestos de emp</w:t>
      </w:r>
      <w:r>
        <w:t xml:space="preserve">resas </w:t>
      </w:r>
      <w:r w:rsidRPr="00CF2862">
        <w:rPr>
          <w:b/>
        </w:rPr>
        <w:t>que cuenten con menos de 800</w:t>
      </w:r>
      <w:r w:rsidR="0005686C">
        <w:rPr>
          <w:b/>
        </w:rPr>
        <w:t xml:space="preserve"> </w:t>
      </w:r>
      <w:r w:rsidRPr="00CF2862">
        <w:rPr>
          <w:b/>
        </w:rPr>
        <w:t>trabajadores</w:t>
      </w:r>
      <w:r w:rsidRPr="00CF2862">
        <w:t xml:space="preserve"> y que desarrollen como actividad principal al 12 de marzo de</w:t>
      </w:r>
      <w:r w:rsidR="0005686C">
        <w:t xml:space="preserve"> </w:t>
      </w:r>
      <w:r w:rsidRPr="00CF2862">
        <w:t>2020 alguna de las incluidas en las Actas del Comité conformadas por las Decisiones Administrativas emitidas hasta la fecha.</w:t>
      </w:r>
      <w:r w:rsidR="00627B92">
        <w:t xml:space="preserve"> Nos preguntamos si no </w:t>
      </w:r>
      <w:r w:rsidR="0005686C">
        <w:t xml:space="preserve">se quiso </w:t>
      </w:r>
      <w:r w:rsidR="00627B92">
        <w:t>también comprender a las empresas que cuente</w:t>
      </w:r>
      <w:r w:rsidR="0005686C">
        <w:t>n</w:t>
      </w:r>
      <w:r w:rsidR="00627B92">
        <w:t xml:space="preserve"> justo con 800 trabajadores, tema que explayamos en el desarrollo del último punto de este trabajo</w:t>
      </w:r>
    </w:p>
    <w:p w14:paraId="7190B289" w14:textId="77777777" w:rsidR="00CF2862" w:rsidRDefault="00CF2862" w:rsidP="000A6208"/>
    <w:p w14:paraId="571E3139" w14:textId="77777777" w:rsidR="00627B92" w:rsidRDefault="00627B92" w:rsidP="000A6208">
      <w:r>
        <w:t xml:space="preserve">Se incluye a las empresas con </w:t>
      </w:r>
      <w:r w:rsidR="00CF2862" w:rsidRPr="00CF2862">
        <w:t xml:space="preserve">variación de </w:t>
      </w:r>
      <w:r w:rsidR="00CF2862" w:rsidRPr="00627B92">
        <w:rPr>
          <w:b/>
        </w:rPr>
        <w:t xml:space="preserve">facturación nominal interanual </w:t>
      </w:r>
      <w:r w:rsidR="00CF2862" w:rsidRPr="0005686C">
        <w:rPr>
          <w:b/>
          <w:u w:val="single"/>
        </w:rPr>
        <w:t>positiva</w:t>
      </w:r>
      <w:r w:rsidR="00CF2862" w:rsidRPr="00627B92">
        <w:rPr>
          <w:b/>
        </w:rPr>
        <w:t xml:space="preserve"> de hasta 30</w:t>
      </w:r>
      <w:proofErr w:type="gramStart"/>
      <w:r w:rsidR="00CF2862" w:rsidRPr="00627B92">
        <w:rPr>
          <w:b/>
        </w:rPr>
        <w:t>%</w:t>
      </w:r>
      <w:r w:rsidRPr="00627B92">
        <w:rPr>
          <w:b/>
        </w:rPr>
        <w:t xml:space="preserve"> </w:t>
      </w:r>
      <w:r w:rsidR="00CF2862" w:rsidRPr="00CF2862">
        <w:t xml:space="preserve"> (</w:t>
      </w:r>
      <w:proofErr w:type="gramEnd"/>
      <w:r w:rsidR="00CF2862" w:rsidRPr="00CF2862">
        <w:t>equivalente a una variación real negat</w:t>
      </w:r>
      <w:r>
        <w:t xml:space="preserve">iva). Dicha variación se determina </w:t>
      </w:r>
      <w:r w:rsidR="00CF2862" w:rsidRPr="00CF2862">
        <w:t xml:space="preserve">comparando los períodos junio de 2019 con junio de 2020, en tanto que en el caso de las empresas que iniciaron sus actividades entre el 1° de enero de 2019 y el 30 de noviembre de 2019, la comparación de la facturación nominal </w:t>
      </w:r>
      <w:r w:rsidR="0005686C">
        <w:t>del mes de junio de 2020 deberá</w:t>
      </w:r>
      <w:r w:rsidR="00CF2862" w:rsidRPr="00CF2862">
        <w:t xml:space="preserve"> hacerse con la del mes de diciembre de 2019.</w:t>
      </w:r>
    </w:p>
    <w:p w14:paraId="3C53307F" w14:textId="77777777" w:rsidR="00627B92" w:rsidRDefault="00627B92" w:rsidP="000A6208"/>
    <w:p w14:paraId="5E785B57" w14:textId="77777777" w:rsidR="00E22D90" w:rsidRDefault="00CF2862" w:rsidP="000A6208">
      <w:r w:rsidRPr="00627B92">
        <w:rPr>
          <w:b/>
        </w:rPr>
        <w:t>No serán elegibles los sujetos que el 12 de marzo de 2020, presenten estado 3, 4, 5 o 6 conforme el Resultado de Situación Crediticia publicado por el BCRA. En caso de varias situaciones crediticias informadas, se considerará la correspondiente al monto de deuda más alto.</w:t>
      </w:r>
      <w:r w:rsidRPr="00CF2862">
        <w:t xml:space="preserve"> </w:t>
      </w:r>
      <w:r w:rsidR="00E22D90">
        <w:t xml:space="preserve">En el siguiente </w:t>
      </w:r>
      <w:proofErr w:type="gramStart"/>
      <w:r w:rsidR="00E22D90">
        <w:t>link</w:t>
      </w:r>
      <w:proofErr w:type="gramEnd"/>
      <w:r w:rsidR="00E22D90">
        <w:t xml:space="preserve"> del Banco </w:t>
      </w:r>
      <w:r w:rsidR="00E22D90">
        <w:lastRenderedPageBreak/>
        <w:t>Central de la República Argentina se puede encontrar información sobre los elementos para la consideración de dichos estados:</w:t>
      </w:r>
    </w:p>
    <w:p w14:paraId="4A550553" w14:textId="77777777" w:rsidR="00E22D90" w:rsidRDefault="00E22D90" w:rsidP="000A6208"/>
    <w:p w14:paraId="3ABA307F" w14:textId="77777777" w:rsidR="00627B92" w:rsidRDefault="00E22D90" w:rsidP="000A6208">
      <w:hyperlink r:id="rId7" w:history="1">
        <w:r w:rsidRPr="00E22D90">
          <w:rPr>
            <w:rStyle w:val="Hipervnculo"/>
            <w:rFonts w:cs="Century Gothic"/>
          </w:rPr>
          <w:t>http://www.bcra.gov.ar/BCRAyVos/Preg-Frec-Qu%C3%A9-significa-cada-situaci%C3%B3n-en-la-Central-de-deudores-considerando-s%C3%B3lo-la-mora.asp</w:t>
        </w:r>
      </w:hyperlink>
    </w:p>
    <w:p w14:paraId="13E34ED5" w14:textId="77777777" w:rsidR="00627B92" w:rsidRDefault="00627B92" w:rsidP="000A6208"/>
    <w:p w14:paraId="1253FAED" w14:textId="77777777" w:rsidR="00627B92" w:rsidRDefault="00627B92" w:rsidP="000A6208"/>
    <w:p w14:paraId="3ACE1CC1" w14:textId="77777777" w:rsidR="00E22D90" w:rsidRDefault="00CF2862" w:rsidP="000A6208">
      <w:r w:rsidRPr="00E22D90">
        <w:rPr>
          <w:b/>
        </w:rPr>
        <w:t>MONTO DEL CRÉDITO SUBSIDIADO</w:t>
      </w:r>
      <w:r w:rsidRPr="00CF2862">
        <w:t xml:space="preserve"> </w:t>
      </w:r>
    </w:p>
    <w:p w14:paraId="1031FCF8" w14:textId="77777777" w:rsidR="00E22D90" w:rsidRDefault="00E22D90" w:rsidP="000A6208"/>
    <w:p w14:paraId="68C27C4D" w14:textId="77777777" w:rsidR="009B624A" w:rsidRDefault="00CF2862" w:rsidP="000A6208">
      <w:r w:rsidRPr="00CF2862">
        <w:t xml:space="preserve">El </w:t>
      </w:r>
      <w:r w:rsidRPr="00F472A8">
        <w:rPr>
          <w:b/>
        </w:rPr>
        <w:t>monto teórico máximo</w:t>
      </w:r>
      <w:r w:rsidRPr="00CF2862">
        <w:t xml:space="preserve"> del crédito se calculará como la sumatoria </w:t>
      </w:r>
      <w:r w:rsidR="0005686C">
        <w:t xml:space="preserve">del </w:t>
      </w:r>
      <w:r w:rsidR="00E22D90" w:rsidRPr="00E22D90">
        <w:rPr>
          <w:b/>
        </w:rPr>
        <w:t>120%</w:t>
      </w:r>
      <w:r w:rsidRPr="00E22D90">
        <w:rPr>
          <w:b/>
        </w:rPr>
        <w:t xml:space="preserve"> de un SALARIO MINIMO VITAL</w:t>
      </w:r>
      <w:r w:rsidR="00E22D90" w:rsidRPr="00E22D90">
        <w:rPr>
          <w:b/>
        </w:rPr>
        <w:t xml:space="preserve"> Y MOVIL por cada </w:t>
      </w:r>
      <w:r w:rsidRPr="00E22D90">
        <w:rPr>
          <w:b/>
        </w:rPr>
        <w:t>trabajador que integre la nómina al 31 de mayo de 2020</w:t>
      </w:r>
      <w:r w:rsidR="00482E8C">
        <w:rPr>
          <w:b/>
        </w:rPr>
        <w:t xml:space="preserve"> </w:t>
      </w:r>
      <w:r w:rsidR="00E22D90">
        <w:t>(no puede</w:t>
      </w:r>
      <w:r w:rsidRPr="00CF2862">
        <w:t xml:space="preserve"> superar el salario neto </w:t>
      </w:r>
      <w:r w:rsidR="009B624A">
        <w:t xml:space="preserve">del mes de mayo </w:t>
      </w:r>
      <w:r w:rsidRPr="00CF2862">
        <w:t xml:space="preserve">de cada </w:t>
      </w:r>
      <w:r w:rsidR="009B624A">
        <w:t>trabajador por el cual se pide).</w:t>
      </w:r>
      <w:r w:rsidR="00F472A8">
        <w:t xml:space="preserve"> O sea que el monto teórico máximo se fija en </w:t>
      </w:r>
      <w:r w:rsidR="00F472A8" w:rsidRPr="00F472A8">
        <w:rPr>
          <w:b/>
        </w:rPr>
        <w:t>$ 20.250</w:t>
      </w:r>
      <w:r w:rsidR="00F472A8">
        <w:t xml:space="preserve"> ($ 16.875 </w:t>
      </w:r>
      <w:r w:rsidR="00482E8C">
        <w:t xml:space="preserve">más un 20%). </w:t>
      </w:r>
    </w:p>
    <w:p w14:paraId="08277762" w14:textId="77777777" w:rsidR="009B624A" w:rsidRDefault="009B624A" w:rsidP="000A6208"/>
    <w:p w14:paraId="6D1BA32C" w14:textId="77777777" w:rsidR="009B624A" w:rsidRDefault="009B624A" w:rsidP="000A6208">
      <w:r>
        <w:t xml:space="preserve">No se otorgará por los </w:t>
      </w:r>
      <w:r w:rsidR="00CF2862" w:rsidRPr="00CF2862">
        <w:t xml:space="preserve">trabajadores cuya remuneración bruta devengada en el mes de mayo de </w:t>
      </w:r>
      <w:proofErr w:type="gramStart"/>
      <w:r w:rsidR="00CF2862" w:rsidRPr="00CF2862">
        <w:t>2020</w:t>
      </w:r>
      <w:r>
        <w:t xml:space="preserve"> </w:t>
      </w:r>
      <w:r w:rsidR="00CF2862" w:rsidRPr="00CF2862">
        <w:t xml:space="preserve"> supere</w:t>
      </w:r>
      <w:proofErr w:type="gramEnd"/>
      <w:r w:rsidR="00CF2862" w:rsidRPr="00CF2862">
        <w:t xml:space="preserve"> la suma de </w:t>
      </w:r>
      <w:r>
        <w:t>$ 140.000.-</w:t>
      </w:r>
      <w:r w:rsidR="00CF2862" w:rsidRPr="00CF2862">
        <w:t xml:space="preserve"> </w:t>
      </w:r>
    </w:p>
    <w:p w14:paraId="584FAE24" w14:textId="77777777" w:rsidR="009B624A" w:rsidRDefault="009B624A" w:rsidP="000A6208"/>
    <w:p w14:paraId="03D88F4C" w14:textId="77777777" w:rsidR="009B624A" w:rsidRDefault="009B624A" w:rsidP="000A6208">
      <w:r>
        <w:t>Destacamos que el importe se depositará en la cuenta de cada trabajador.</w:t>
      </w:r>
    </w:p>
    <w:p w14:paraId="25FDFF86" w14:textId="77777777" w:rsidR="009B624A" w:rsidRDefault="009B624A" w:rsidP="000A6208"/>
    <w:p w14:paraId="1C4071E7" w14:textId="77777777" w:rsidR="009B624A" w:rsidRDefault="009B624A" w:rsidP="000A6208"/>
    <w:p w14:paraId="6F5E6390" w14:textId="77777777" w:rsidR="009B624A" w:rsidRPr="009B624A" w:rsidRDefault="00CF2862" w:rsidP="000A6208">
      <w:pPr>
        <w:rPr>
          <w:b/>
        </w:rPr>
      </w:pPr>
      <w:r w:rsidRPr="009B624A">
        <w:rPr>
          <w:b/>
        </w:rPr>
        <w:t xml:space="preserve">TASAS DE INTERÉS </w:t>
      </w:r>
      <w:r w:rsidR="0005686C">
        <w:rPr>
          <w:b/>
        </w:rPr>
        <w:t>(SUBSIDIADA)</w:t>
      </w:r>
    </w:p>
    <w:p w14:paraId="131E7171" w14:textId="77777777" w:rsidR="009B624A" w:rsidRDefault="009B624A" w:rsidP="000A6208"/>
    <w:p w14:paraId="11F2C5B5" w14:textId="77777777" w:rsidR="009B624A" w:rsidRDefault="00482E8C" w:rsidP="000A6208">
      <w:r>
        <w:t>D</w:t>
      </w:r>
      <w:r w:rsidR="00CF2862" w:rsidRPr="00CF2862">
        <w:t xml:space="preserve">ependerá de la magnitud de la </w:t>
      </w:r>
      <w:r>
        <w:t>v</w:t>
      </w:r>
      <w:r w:rsidR="00CF2862" w:rsidRPr="00CF2862">
        <w:t xml:space="preserve">ariación nominal positiva de facturación, </w:t>
      </w:r>
      <w:r>
        <w:t xml:space="preserve">comparando junio de 2020 con respecto a junio de 2019 (en el apartado de beneficiarios detallamos los casos especiales de inicio de actividades), </w:t>
      </w:r>
      <w:r w:rsidR="00CF2862" w:rsidRPr="00CF2862">
        <w:t xml:space="preserve">conforme se consigna seguidamente: </w:t>
      </w:r>
    </w:p>
    <w:p w14:paraId="29977970" w14:textId="77777777" w:rsidR="009B624A" w:rsidRDefault="009B624A" w:rsidP="000A62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2132"/>
      </w:tblGrid>
      <w:tr w:rsidR="00482E8C" w14:paraId="63A8ED88" w14:textId="77777777" w:rsidTr="006060D9">
        <w:tc>
          <w:tcPr>
            <w:tcW w:w="6663" w:type="dxa"/>
            <w:shd w:val="clear" w:color="auto" w:fill="auto"/>
          </w:tcPr>
          <w:p w14:paraId="331A7882" w14:textId="77777777" w:rsidR="00482E8C" w:rsidRPr="006060D9" w:rsidRDefault="00482E8C" w:rsidP="006060D9">
            <w:pPr>
              <w:jc w:val="center"/>
              <w:rPr>
                <w:b/>
              </w:rPr>
            </w:pPr>
          </w:p>
          <w:p w14:paraId="198DDD42" w14:textId="77777777" w:rsidR="00482E8C" w:rsidRPr="006060D9" w:rsidRDefault="00482E8C" w:rsidP="006060D9">
            <w:pPr>
              <w:jc w:val="center"/>
              <w:rPr>
                <w:b/>
              </w:rPr>
            </w:pPr>
            <w:r w:rsidRPr="006060D9">
              <w:rPr>
                <w:b/>
              </w:rPr>
              <w:t xml:space="preserve">Variación POSITIVA </w:t>
            </w:r>
            <w:r w:rsidR="0005686C" w:rsidRPr="006060D9">
              <w:rPr>
                <w:b/>
              </w:rPr>
              <w:t xml:space="preserve">de </w:t>
            </w:r>
            <w:r w:rsidRPr="006060D9">
              <w:rPr>
                <w:b/>
              </w:rPr>
              <w:t>facturación</w:t>
            </w:r>
          </w:p>
          <w:p w14:paraId="726DF222" w14:textId="77777777" w:rsidR="00482E8C" w:rsidRPr="006060D9" w:rsidRDefault="00482E8C" w:rsidP="006060D9">
            <w:pPr>
              <w:jc w:val="center"/>
              <w:rPr>
                <w:b/>
              </w:rPr>
            </w:pPr>
          </w:p>
        </w:tc>
        <w:tc>
          <w:tcPr>
            <w:tcW w:w="2157" w:type="dxa"/>
            <w:shd w:val="clear" w:color="auto" w:fill="auto"/>
          </w:tcPr>
          <w:p w14:paraId="7EEEF54A" w14:textId="77777777" w:rsidR="00482E8C" w:rsidRPr="006060D9" w:rsidRDefault="00482E8C" w:rsidP="006060D9">
            <w:pPr>
              <w:jc w:val="center"/>
              <w:rPr>
                <w:b/>
              </w:rPr>
            </w:pPr>
          </w:p>
          <w:p w14:paraId="30450A4D" w14:textId="77777777" w:rsidR="00482E8C" w:rsidRPr="006060D9" w:rsidRDefault="00482E8C" w:rsidP="006060D9">
            <w:pPr>
              <w:jc w:val="center"/>
              <w:rPr>
                <w:b/>
              </w:rPr>
            </w:pPr>
            <w:r w:rsidRPr="006060D9">
              <w:rPr>
                <w:b/>
              </w:rPr>
              <w:t>Tasa Nominal Anual</w:t>
            </w:r>
          </w:p>
        </w:tc>
      </w:tr>
      <w:tr w:rsidR="00482E8C" w14:paraId="3ADA6784" w14:textId="77777777" w:rsidTr="006060D9">
        <w:tc>
          <w:tcPr>
            <w:tcW w:w="6663" w:type="dxa"/>
            <w:shd w:val="clear" w:color="auto" w:fill="auto"/>
          </w:tcPr>
          <w:p w14:paraId="62AD7822" w14:textId="77777777" w:rsidR="00482E8C" w:rsidRDefault="00482E8C" w:rsidP="006060D9">
            <w:pPr>
              <w:jc w:val="center"/>
            </w:pPr>
          </w:p>
          <w:p w14:paraId="33E6A89D" w14:textId="77777777" w:rsidR="00482E8C" w:rsidRDefault="00482E8C" w:rsidP="006060D9">
            <w:pPr>
              <w:jc w:val="center"/>
            </w:pPr>
            <w:r w:rsidRPr="00CF2862">
              <w:t>Vari</w:t>
            </w:r>
            <w:r>
              <w:t xml:space="preserve">ación nominal positiva </w:t>
            </w:r>
            <w:r w:rsidRPr="006060D9">
              <w:rPr>
                <w:b/>
              </w:rPr>
              <w:t>0%</w:t>
            </w:r>
            <w:r>
              <w:t xml:space="preserve"> a 10%</w:t>
            </w:r>
          </w:p>
          <w:p w14:paraId="32DF56F8" w14:textId="77777777" w:rsidR="00482E8C" w:rsidRPr="006060D9" w:rsidRDefault="00482E8C" w:rsidP="006060D9">
            <w:pPr>
              <w:jc w:val="center"/>
              <w:rPr>
                <w:b/>
              </w:rPr>
            </w:pPr>
          </w:p>
        </w:tc>
        <w:tc>
          <w:tcPr>
            <w:tcW w:w="2157" w:type="dxa"/>
            <w:shd w:val="clear" w:color="auto" w:fill="auto"/>
          </w:tcPr>
          <w:p w14:paraId="3D1829F5" w14:textId="77777777" w:rsidR="00482E8C" w:rsidRPr="006060D9" w:rsidRDefault="00482E8C" w:rsidP="006060D9">
            <w:pPr>
              <w:jc w:val="center"/>
              <w:rPr>
                <w:b/>
              </w:rPr>
            </w:pPr>
          </w:p>
          <w:p w14:paraId="630E68E1" w14:textId="77777777" w:rsidR="00482E8C" w:rsidRPr="006060D9" w:rsidRDefault="00482E8C" w:rsidP="006060D9">
            <w:pPr>
              <w:jc w:val="center"/>
              <w:rPr>
                <w:b/>
              </w:rPr>
            </w:pPr>
            <w:r w:rsidRPr="006060D9">
              <w:rPr>
                <w:b/>
              </w:rPr>
              <w:t>0%</w:t>
            </w:r>
          </w:p>
        </w:tc>
      </w:tr>
      <w:tr w:rsidR="00482E8C" w14:paraId="16E1D63F" w14:textId="77777777" w:rsidTr="006060D9">
        <w:tc>
          <w:tcPr>
            <w:tcW w:w="6663" w:type="dxa"/>
            <w:shd w:val="clear" w:color="auto" w:fill="auto"/>
          </w:tcPr>
          <w:p w14:paraId="67C1FC61" w14:textId="77777777" w:rsidR="00482E8C" w:rsidRDefault="00482E8C" w:rsidP="006060D9">
            <w:pPr>
              <w:jc w:val="center"/>
            </w:pPr>
          </w:p>
          <w:p w14:paraId="17FC15BE" w14:textId="77777777" w:rsidR="00482E8C" w:rsidRDefault="00482E8C" w:rsidP="006060D9">
            <w:pPr>
              <w:jc w:val="center"/>
            </w:pPr>
            <w:r w:rsidRPr="00CF2862">
              <w:t>Variación nominal positiva d</w:t>
            </w:r>
            <w:r>
              <w:t>e más del 10,01% y hasta el 20%</w:t>
            </w:r>
          </w:p>
          <w:p w14:paraId="3CDAE135" w14:textId="77777777" w:rsidR="00482E8C" w:rsidRPr="006060D9" w:rsidRDefault="00482E8C" w:rsidP="006060D9">
            <w:pPr>
              <w:jc w:val="center"/>
              <w:rPr>
                <w:b/>
              </w:rPr>
            </w:pPr>
          </w:p>
        </w:tc>
        <w:tc>
          <w:tcPr>
            <w:tcW w:w="2157" w:type="dxa"/>
            <w:shd w:val="clear" w:color="auto" w:fill="auto"/>
          </w:tcPr>
          <w:p w14:paraId="33FE7729" w14:textId="77777777" w:rsidR="00482E8C" w:rsidRPr="006060D9" w:rsidRDefault="00482E8C" w:rsidP="006060D9">
            <w:pPr>
              <w:jc w:val="center"/>
              <w:rPr>
                <w:b/>
              </w:rPr>
            </w:pPr>
          </w:p>
          <w:p w14:paraId="442E2F9E" w14:textId="77777777" w:rsidR="00482E8C" w:rsidRPr="006060D9" w:rsidRDefault="00482E8C" w:rsidP="006060D9">
            <w:pPr>
              <w:jc w:val="center"/>
              <w:rPr>
                <w:b/>
              </w:rPr>
            </w:pPr>
            <w:r w:rsidRPr="006060D9">
              <w:rPr>
                <w:b/>
              </w:rPr>
              <w:t>7,5%</w:t>
            </w:r>
          </w:p>
          <w:p w14:paraId="3AE5A46E" w14:textId="77777777" w:rsidR="00482E8C" w:rsidRPr="006060D9" w:rsidRDefault="00482E8C" w:rsidP="006060D9">
            <w:pPr>
              <w:jc w:val="center"/>
              <w:rPr>
                <w:b/>
              </w:rPr>
            </w:pPr>
          </w:p>
        </w:tc>
      </w:tr>
      <w:tr w:rsidR="00482E8C" w14:paraId="4D3284F4" w14:textId="77777777" w:rsidTr="006060D9">
        <w:tc>
          <w:tcPr>
            <w:tcW w:w="6663" w:type="dxa"/>
            <w:shd w:val="clear" w:color="auto" w:fill="auto"/>
          </w:tcPr>
          <w:p w14:paraId="70E4F0E5" w14:textId="77777777" w:rsidR="00482E8C" w:rsidRDefault="00482E8C" w:rsidP="006060D9">
            <w:pPr>
              <w:jc w:val="center"/>
            </w:pPr>
          </w:p>
          <w:p w14:paraId="19FA825F" w14:textId="77777777" w:rsidR="00482E8C" w:rsidRDefault="00482E8C" w:rsidP="006060D9">
            <w:pPr>
              <w:jc w:val="center"/>
            </w:pPr>
            <w:r w:rsidRPr="00CF2862">
              <w:t>Variación nominal positiva demás del 20,01% y hasta el 30%</w:t>
            </w:r>
          </w:p>
          <w:p w14:paraId="3A682FAF" w14:textId="77777777" w:rsidR="00482E8C" w:rsidRPr="006060D9" w:rsidRDefault="00482E8C" w:rsidP="006060D9">
            <w:pPr>
              <w:jc w:val="center"/>
              <w:rPr>
                <w:b/>
              </w:rPr>
            </w:pPr>
          </w:p>
        </w:tc>
        <w:tc>
          <w:tcPr>
            <w:tcW w:w="2157" w:type="dxa"/>
            <w:shd w:val="clear" w:color="auto" w:fill="auto"/>
          </w:tcPr>
          <w:p w14:paraId="49FA16C1" w14:textId="77777777" w:rsidR="00482E8C" w:rsidRPr="006060D9" w:rsidRDefault="00482E8C" w:rsidP="006060D9">
            <w:pPr>
              <w:jc w:val="center"/>
              <w:rPr>
                <w:b/>
              </w:rPr>
            </w:pPr>
          </w:p>
          <w:p w14:paraId="1A47BD36" w14:textId="77777777" w:rsidR="00482E8C" w:rsidRPr="006060D9" w:rsidRDefault="00482E8C" w:rsidP="006060D9">
            <w:pPr>
              <w:jc w:val="center"/>
              <w:rPr>
                <w:b/>
              </w:rPr>
            </w:pPr>
            <w:r w:rsidRPr="006060D9">
              <w:rPr>
                <w:b/>
              </w:rPr>
              <w:t>15%</w:t>
            </w:r>
          </w:p>
        </w:tc>
      </w:tr>
    </w:tbl>
    <w:p w14:paraId="2623514B" w14:textId="77777777" w:rsidR="00482E8C" w:rsidRDefault="00482E8C" w:rsidP="000A6208"/>
    <w:p w14:paraId="33F27D1E" w14:textId="77777777" w:rsidR="009B624A" w:rsidRDefault="009B624A" w:rsidP="000A6208"/>
    <w:p w14:paraId="78B6BDB0" w14:textId="77777777" w:rsidR="009B624A" w:rsidRPr="009B624A" w:rsidRDefault="00CF2862" w:rsidP="000A6208">
      <w:pPr>
        <w:rPr>
          <w:b/>
        </w:rPr>
      </w:pPr>
      <w:r w:rsidRPr="009B624A">
        <w:rPr>
          <w:b/>
        </w:rPr>
        <w:t xml:space="preserve">El BANCO CENTRAL DE LA REPÚBLICA ARGENTINA fijará las restantes condiciones para la instrumentación de la línea de crédito en cuestión. </w:t>
      </w:r>
    </w:p>
    <w:p w14:paraId="15980852" w14:textId="77777777" w:rsidR="009B624A" w:rsidRDefault="009B624A" w:rsidP="000A6208"/>
    <w:p w14:paraId="0483DD2D" w14:textId="77777777" w:rsidR="009B624A" w:rsidRDefault="009B624A" w:rsidP="000A6208"/>
    <w:p w14:paraId="51C8C157" w14:textId="77777777" w:rsidR="009B624A" w:rsidRPr="009B624A" w:rsidRDefault="009B624A" w:rsidP="000A6208">
      <w:pPr>
        <w:rPr>
          <w:b/>
        </w:rPr>
      </w:pPr>
      <w:r w:rsidRPr="009B624A">
        <w:rPr>
          <w:b/>
        </w:rPr>
        <w:t>PERÍODO DE GRACIA Y DEVOLUCIÓN</w:t>
      </w:r>
    </w:p>
    <w:p w14:paraId="1DAE1713" w14:textId="77777777" w:rsidR="009B624A" w:rsidRDefault="009B624A" w:rsidP="000A6208"/>
    <w:p w14:paraId="3AB80008" w14:textId="77777777" w:rsidR="009B624A" w:rsidRDefault="009B624A" w:rsidP="000A6208">
      <w:r>
        <w:t xml:space="preserve">Contará </w:t>
      </w:r>
      <w:r w:rsidR="00CF2862" w:rsidRPr="00CF2862">
        <w:t xml:space="preserve">con </w:t>
      </w:r>
      <w:r>
        <w:rPr>
          <w:b/>
        </w:rPr>
        <w:t>un período de gracia de 3</w:t>
      </w:r>
      <w:r w:rsidR="00CF2862" w:rsidRPr="009B624A">
        <w:rPr>
          <w:b/>
        </w:rPr>
        <w:t xml:space="preserve"> meses a partir de la primera acreditación </w:t>
      </w:r>
      <w:r>
        <w:t xml:space="preserve">y </w:t>
      </w:r>
      <w:r w:rsidRPr="009B624A">
        <w:rPr>
          <w:b/>
        </w:rPr>
        <w:t xml:space="preserve">se otorgará </w:t>
      </w:r>
      <w:r w:rsidR="00CF2862" w:rsidRPr="009B624A">
        <w:rPr>
          <w:b/>
        </w:rPr>
        <w:t xml:space="preserve">por un plazo de </w:t>
      </w:r>
      <w:r w:rsidRPr="009B624A">
        <w:rPr>
          <w:b/>
        </w:rPr>
        <w:t>12</w:t>
      </w:r>
      <w:r w:rsidR="00CF2862" w:rsidRPr="009B624A">
        <w:rPr>
          <w:b/>
        </w:rPr>
        <w:t xml:space="preserve"> meses</w:t>
      </w:r>
      <w:r>
        <w:t xml:space="preserve"> (entendemos que significa que se devolverá en 12 cuotas).</w:t>
      </w:r>
      <w:r w:rsidR="00CF2862" w:rsidRPr="00CF2862">
        <w:t xml:space="preserve"> </w:t>
      </w:r>
    </w:p>
    <w:p w14:paraId="3FE5FB5D" w14:textId="77777777" w:rsidR="009B624A" w:rsidRDefault="009B624A" w:rsidP="000A6208"/>
    <w:p w14:paraId="74E8EB0F" w14:textId="77777777" w:rsidR="009B624A" w:rsidRPr="009B624A" w:rsidRDefault="00CF2862" w:rsidP="000A6208">
      <w:pPr>
        <w:rPr>
          <w:b/>
        </w:rPr>
      </w:pPr>
      <w:r w:rsidRPr="009B624A">
        <w:rPr>
          <w:b/>
        </w:rPr>
        <w:t>INSTRUMENTACIÓN</w:t>
      </w:r>
    </w:p>
    <w:p w14:paraId="268E9B35" w14:textId="77777777" w:rsidR="009B624A" w:rsidRDefault="009B624A" w:rsidP="000A6208"/>
    <w:p w14:paraId="47E5045D" w14:textId="77777777" w:rsidR="009B624A" w:rsidRDefault="009B624A" w:rsidP="000A6208"/>
    <w:p w14:paraId="37E541E5" w14:textId="77777777" w:rsidR="009B624A" w:rsidRDefault="00CF2862" w:rsidP="000A6208">
      <w:r w:rsidRPr="00CF2862">
        <w:t>La ADMINISTRACI</w:t>
      </w:r>
      <w:r w:rsidR="009B624A">
        <w:t>ÓN FEDERAL DE INGRESOS PÚBLICOS</w:t>
      </w:r>
      <w:r w:rsidRPr="00CF2862">
        <w:t xml:space="preserve"> Informará a los posibles benef</w:t>
      </w:r>
      <w:r w:rsidR="009B624A">
        <w:t>iciarios:</w:t>
      </w:r>
    </w:p>
    <w:p w14:paraId="711DCD6C" w14:textId="77777777" w:rsidR="009B624A" w:rsidRDefault="009B624A" w:rsidP="000A6208"/>
    <w:p w14:paraId="1F5EA345" w14:textId="77777777" w:rsidR="00F27182" w:rsidRDefault="009B624A" w:rsidP="000A6208">
      <w:pPr>
        <w:numPr>
          <w:ilvl w:val="0"/>
          <w:numId w:val="9"/>
        </w:numPr>
      </w:pPr>
      <w:r>
        <w:t>El</w:t>
      </w:r>
      <w:r w:rsidR="00CF2862" w:rsidRPr="00CF2862">
        <w:t xml:space="preserve"> monto máximo del crédito a otorgarse</w:t>
      </w:r>
      <w:r>
        <w:t xml:space="preserve"> por empleador</w:t>
      </w:r>
      <w:r w:rsidR="0005686C">
        <w:t xml:space="preserve">, </w:t>
      </w:r>
      <w:r w:rsidR="005B15DF">
        <w:t>para cuya sumatoria</w:t>
      </w:r>
      <w:r>
        <w:t xml:space="preserve"> no </w:t>
      </w:r>
      <w:r w:rsidR="005B15DF">
        <w:t xml:space="preserve">se </w:t>
      </w:r>
      <w:r>
        <w:t xml:space="preserve">podrá </w:t>
      </w:r>
      <w:r w:rsidR="00CF2862" w:rsidRPr="00CF2862">
        <w:t>superar individualmente el S</w:t>
      </w:r>
      <w:r>
        <w:t xml:space="preserve">ueldo Neto de </w:t>
      </w:r>
      <w:proofErr w:type="gramStart"/>
      <w:r>
        <w:t xml:space="preserve">cada </w:t>
      </w:r>
      <w:r w:rsidR="00CF2862" w:rsidRPr="00CF2862">
        <w:t xml:space="preserve"> trabajador</w:t>
      </w:r>
      <w:proofErr w:type="gramEnd"/>
      <w:r w:rsidR="00CF2862" w:rsidRPr="00CF2862">
        <w:t>, las condiciones de financiación y el banco elegido.</w:t>
      </w:r>
    </w:p>
    <w:p w14:paraId="0CAA4B70" w14:textId="77777777" w:rsidR="00F27182" w:rsidRDefault="009B624A" w:rsidP="000A6208">
      <w:pPr>
        <w:numPr>
          <w:ilvl w:val="0"/>
          <w:numId w:val="9"/>
        </w:numPr>
      </w:pPr>
      <w:r>
        <w:t>Se s</w:t>
      </w:r>
      <w:r w:rsidR="00CF2862" w:rsidRPr="00CF2862">
        <w:t>olicitará a cada inte</w:t>
      </w:r>
      <w:r>
        <w:t xml:space="preserve">resado que </w:t>
      </w:r>
      <w:r w:rsidRPr="00F27182">
        <w:rPr>
          <w:b/>
        </w:rPr>
        <w:t>manifieste e informe</w:t>
      </w:r>
      <w:r w:rsidR="00CF2862" w:rsidRPr="00CF2862">
        <w:t xml:space="preserve"> la voluntad de acceder efectivamente al crédito y, en su caso, el monto teórico máximo.</w:t>
      </w:r>
    </w:p>
    <w:p w14:paraId="7C1CB218" w14:textId="77777777" w:rsidR="00F27182" w:rsidRPr="00F27182" w:rsidRDefault="00CF2862" w:rsidP="000A6208">
      <w:pPr>
        <w:numPr>
          <w:ilvl w:val="0"/>
          <w:numId w:val="9"/>
        </w:numPr>
        <w:rPr>
          <w:lang w:val="es-AR"/>
        </w:rPr>
      </w:pPr>
      <w:r w:rsidRPr="00CF2862">
        <w:t>Pondrá a disposición del BANCO CENTRAL DE LA REPÚBLICA ARGENTINA la nómina de beneficiarios que formalizaron la solicitud y los datos aportados al efecto.</w:t>
      </w:r>
    </w:p>
    <w:p w14:paraId="73E93B93" w14:textId="77777777" w:rsidR="00F27182" w:rsidRDefault="00F27182" w:rsidP="00F27182">
      <w:pPr>
        <w:ind w:left="360"/>
        <w:rPr>
          <w:b/>
        </w:rPr>
      </w:pPr>
    </w:p>
    <w:p w14:paraId="559F7627" w14:textId="77777777" w:rsidR="00F27182" w:rsidRPr="00F27182" w:rsidRDefault="00CF2862" w:rsidP="00F27182">
      <w:pPr>
        <w:rPr>
          <w:lang w:val="es-AR"/>
        </w:rPr>
      </w:pPr>
      <w:r w:rsidRPr="00F27182">
        <w:rPr>
          <w:b/>
        </w:rPr>
        <w:t>Deberá garantizarse que los fondos consecuencia del Crédito a Tasa Subsidiada serán efectiva y exclusivamente acreditados en la</w:t>
      </w:r>
      <w:r w:rsidR="00F27182">
        <w:rPr>
          <w:b/>
        </w:rPr>
        <w:t>s cuenta</w:t>
      </w:r>
      <w:r w:rsidR="00025A02">
        <w:rPr>
          <w:b/>
        </w:rPr>
        <w:t xml:space="preserve">s </w:t>
      </w:r>
      <w:proofErr w:type="gramStart"/>
      <w:r w:rsidR="00025A02">
        <w:rPr>
          <w:b/>
        </w:rPr>
        <w:t xml:space="preserve">de </w:t>
      </w:r>
      <w:r w:rsidR="00F27182">
        <w:rPr>
          <w:b/>
        </w:rPr>
        <w:t xml:space="preserve"> </w:t>
      </w:r>
      <w:r w:rsidRPr="00F27182">
        <w:rPr>
          <w:b/>
        </w:rPr>
        <w:t>los</w:t>
      </w:r>
      <w:proofErr w:type="gramEnd"/>
      <w:r w:rsidRPr="00F27182">
        <w:rPr>
          <w:b/>
        </w:rPr>
        <w:t xml:space="preserve"> trabajadores</w:t>
      </w:r>
      <w:r w:rsidRPr="00CF2862">
        <w:t xml:space="preserve"> de conformidad con las consideraciones precedentes. </w:t>
      </w:r>
    </w:p>
    <w:p w14:paraId="6184AAD4" w14:textId="77777777" w:rsidR="00F27182" w:rsidRDefault="00F27182" w:rsidP="00F27182">
      <w:pPr>
        <w:ind w:left="360"/>
        <w:rPr>
          <w:lang w:val="es-AR"/>
        </w:rPr>
      </w:pPr>
    </w:p>
    <w:p w14:paraId="399A801A" w14:textId="77777777" w:rsidR="00CF2862" w:rsidRPr="00F27182" w:rsidRDefault="00CF2862" w:rsidP="00F27182">
      <w:pPr>
        <w:rPr>
          <w:b/>
          <w:lang w:val="es-AR"/>
        </w:rPr>
      </w:pPr>
      <w:r w:rsidRPr="00F27182">
        <w:rPr>
          <w:b/>
        </w:rPr>
        <w:t>La ADMINISTRACIÓN FEDERAL DE INGRESOS PÚBLICOS instrumentará los mecanismos de solicitud del beneficio y el BANCO CENTRAL DE LA REPÚBLICA ARGENTINA regulará su otorgamiento y efectiva acreditación.</w:t>
      </w:r>
    </w:p>
    <w:p w14:paraId="77312D4C" w14:textId="77777777" w:rsidR="007148FE" w:rsidRPr="001E2646" w:rsidRDefault="007148FE" w:rsidP="000A6208">
      <w:pPr>
        <w:rPr>
          <w:lang w:val="es-AR"/>
        </w:rPr>
      </w:pPr>
    </w:p>
    <w:p w14:paraId="34A3C43B" w14:textId="77777777" w:rsidR="0058594B" w:rsidRDefault="0058594B" w:rsidP="0058594B">
      <w:pPr>
        <w:rPr>
          <w:lang w:val="es-AR"/>
        </w:rPr>
      </w:pPr>
    </w:p>
    <w:p w14:paraId="09ABDC96" w14:textId="77777777" w:rsidR="00A44AF8" w:rsidRPr="007148FE" w:rsidRDefault="006B356B" w:rsidP="0058594B">
      <w:pPr>
        <w:rPr>
          <w:b/>
          <w:u w:val="single"/>
          <w:lang w:val="es-AR"/>
        </w:rPr>
      </w:pPr>
      <w:r w:rsidRPr="007148FE">
        <w:rPr>
          <w:b/>
          <w:u w:val="single"/>
          <w:lang w:val="es-AR"/>
        </w:rPr>
        <w:t>Restricciones para sujetos que acceden tanto al Salario Complementario como al Crédito a tasa Subsidiada</w:t>
      </w:r>
      <w:r w:rsidR="00AA65C3" w:rsidRPr="007148FE">
        <w:rPr>
          <w:b/>
          <w:u w:val="single"/>
          <w:lang w:val="es-AR"/>
        </w:rPr>
        <w:t xml:space="preserve"> (punto 7 del Acta 19)</w:t>
      </w:r>
    </w:p>
    <w:p w14:paraId="213A0F1B" w14:textId="77777777" w:rsidR="006B356B" w:rsidRDefault="006B356B" w:rsidP="00DC6D78">
      <w:pPr>
        <w:rPr>
          <w:lang w:val="es-AR"/>
        </w:rPr>
      </w:pPr>
    </w:p>
    <w:p w14:paraId="4B624384" w14:textId="77777777" w:rsidR="00A70CA1" w:rsidRDefault="000632DB" w:rsidP="00DC6D78">
      <w:pPr>
        <w:rPr>
          <w:b/>
          <w:i/>
        </w:rPr>
      </w:pPr>
      <w:r w:rsidRPr="00A70CA1">
        <w:rPr>
          <w:lang w:val="es-AR"/>
        </w:rPr>
        <w:t xml:space="preserve">En el punto 7 del Acta N° 19 se </w:t>
      </w:r>
      <w:r w:rsidR="00A70CA1">
        <w:rPr>
          <w:lang w:val="es-AR"/>
        </w:rPr>
        <w:t xml:space="preserve">determina lo siguiente: </w:t>
      </w:r>
      <w:r w:rsidR="00A70CA1" w:rsidRPr="00A70CA1">
        <w:rPr>
          <w:b/>
          <w:i/>
          <w:lang w:val="es-AR"/>
        </w:rPr>
        <w:t>“…</w:t>
      </w:r>
      <w:r w:rsidR="00A70CA1" w:rsidRPr="00A70CA1">
        <w:rPr>
          <w:b/>
          <w:i/>
        </w:rPr>
        <w:t xml:space="preserve">La obtención del beneficio de Salario Complementario o Crédito a Tasa Subsidiada correspondiente a los salarios devengados en el mes de julio de 2020 </w:t>
      </w:r>
      <w:r w:rsidR="00A70CA1" w:rsidRPr="00A70CA1">
        <w:rPr>
          <w:b/>
          <w:i/>
          <w:u w:val="single"/>
        </w:rPr>
        <w:t>no alterará</w:t>
      </w:r>
      <w:r w:rsidR="00A70CA1" w:rsidRPr="00A70CA1">
        <w:rPr>
          <w:b/>
          <w:i/>
        </w:rPr>
        <w:t xml:space="preserve"> el cómputo de plazos de las restricciones q</w:t>
      </w:r>
      <w:r w:rsidR="008D303E">
        <w:rPr>
          <w:b/>
          <w:i/>
        </w:rPr>
        <w:t>ue pesan sobre los empleadores -re</w:t>
      </w:r>
      <w:r w:rsidR="00A70CA1" w:rsidRPr="00A70CA1">
        <w:rPr>
          <w:b/>
          <w:i/>
        </w:rPr>
        <w:t>feridas en el párrafo anterior- derivadas de la obtención del beneficio por las remuneraciones de los meses de mayo o junio de 2020, según corresponda…”</w:t>
      </w:r>
    </w:p>
    <w:p w14:paraId="13C50E73" w14:textId="77777777" w:rsidR="00A70CA1" w:rsidRDefault="00A70CA1" w:rsidP="00DC6D78">
      <w:pPr>
        <w:rPr>
          <w:b/>
          <w:i/>
        </w:rPr>
      </w:pPr>
    </w:p>
    <w:p w14:paraId="09C8100C" w14:textId="77777777" w:rsidR="001F01EE" w:rsidRDefault="00A70CA1" w:rsidP="00DC6D78">
      <w:r>
        <w:t>El subrayado anterior nos pertenece y en nuestra interpretación sería muy importante por ejemplo para una empresa que cerró su ejercicio en el mes de junio de 2020, donde solicitar el beneficio también por julio no agregaría 12 meses más de restricciones.</w:t>
      </w:r>
    </w:p>
    <w:p w14:paraId="5B1C4DA9" w14:textId="77777777" w:rsidR="001F01EE" w:rsidRDefault="001F01EE" w:rsidP="00DC6D78"/>
    <w:p w14:paraId="67DC3A2A" w14:textId="77777777" w:rsidR="008828DC" w:rsidRDefault="001F01EE" w:rsidP="00DC6D78">
      <w:r>
        <w:lastRenderedPageBreak/>
        <w:t xml:space="preserve">En nuestra </w:t>
      </w:r>
      <w:proofErr w:type="gramStart"/>
      <w:r>
        <w:t xml:space="preserve">circular </w:t>
      </w:r>
      <w:r w:rsidR="002A7E6B">
        <w:t xml:space="preserve"> (</w:t>
      </w:r>
      <w:proofErr w:type="gramEnd"/>
      <w:r w:rsidR="002A7E6B">
        <w:t>Departamento de E</w:t>
      </w:r>
      <w:r w:rsidR="00292206">
        <w:t>studios Tributarios) nos extendimos sobre el tema, donde adjuntamos el Anexo II de la Decisión Admi</w:t>
      </w:r>
      <w:r w:rsidR="00F27182">
        <w:t xml:space="preserve">nistrativa 963/2020 que ilustra </w:t>
      </w:r>
      <w:r w:rsidR="00292206">
        <w:t>como se relaciona el mes de cierre de cada ejercicio con el mes de beneficio, situación de algún modo ahora atenuada para el caso que mencionamos en el párrafo anterio</w:t>
      </w:r>
      <w:r w:rsidR="006B356B">
        <w:t xml:space="preserve">r con respecto a sujetos que </w:t>
      </w:r>
      <w:r w:rsidR="00292206">
        <w:t xml:space="preserve">solicitaron </w:t>
      </w:r>
      <w:r w:rsidR="006B356B">
        <w:t xml:space="preserve">beneficios </w:t>
      </w:r>
      <w:r w:rsidR="00292206">
        <w:t xml:space="preserve">por el mes de junio, o por el mes de mayo y no por junio. Siempre en nuestra opinión. </w:t>
      </w:r>
    </w:p>
    <w:p w14:paraId="06B03B12" w14:textId="77777777" w:rsidR="008828DC" w:rsidRDefault="008828DC" w:rsidP="00DC6D78"/>
    <w:p w14:paraId="31D6E4E7" w14:textId="77777777" w:rsidR="000C26F0" w:rsidRDefault="008828DC" w:rsidP="00DC6D78">
      <w:r>
        <w:t>El mismo punto 7 del Acta N° 19 luego se refiere a</w:t>
      </w:r>
      <w:r w:rsidRPr="006B356B">
        <w:t xml:space="preserve"> los</w:t>
      </w:r>
      <w:r w:rsidRPr="008828DC">
        <w:rPr>
          <w:b/>
          <w:i/>
        </w:rPr>
        <w:t xml:space="preserve"> </w:t>
      </w:r>
      <w:r w:rsidRPr="006B356B">
        <w:rPr>
          <w:b/>
        </w:rPr>
        <w:t xml:space="preserve">sujetos que solicitan </w:t>
      </w:r>
      <w:r w:rsidR="006B356B" w:rsidRPr="006B356B">
        <w:rPr>
          <w:b/>
        </w:rPr>
        <w:t xml:space="preserve">por primera </w:t>
      </w:r>
      <w:r w:rsidR="006B356B">
        <w:rPr>
          <w:b/>
        </w:rPr>
        <w:t xml:space="preserve">vez el beneficio, tanto del Salario Complementario como del Crédito a Tasa Subsidiada, </w:t>
      </w:r>
      <w:r w:rsidR="006B356B" w:rsidRPr="006B356B">
        <w:t>fijando la</w:t>
      </w:r>
      <w:r w:rsidR="006B356B">
        <w:t>s</w:t>
      </w:r>
      <w:r w:rsidR="006B356B" w:rsidRPr="006B356B">
        <w:t xml:space="preserve"> restricc</w:t>
      </w:r>
      <w:r w:rsidR="006B356B">
        <w:t xml:space="preserve">iones </w:t>
      </w:r>
      <w:proofErr w:type="gramStart"/>
      <w:r w:rsidR="006B356B">
        <w:t>de acuerdo a</w:t>
      </w:r>
      <w:proofErr w:type="gramEnd"/>
      <w:r w:rsidR="006B356B">
        <w:t xml:space="preserve"> los siguientes plazos:</w:t>
      </w:r>
    </w:p>
    <w:p w14:paraId="1C1830B6" w14:textId="77777777" w:rsidR="006B356B" w:rsidRDefault="006B356B" w:rsidP="00DC6D78"/>
    <w:p w14:paraId="671171D5" w14:textId="77777777" w:rsidR="00946587" w:rsidRPr="00946587" w:rsidRDefault="00946587" w:rsidP="00DC6D78">
      <w:r w:rsidRPr="00946587">
        <w:t xml:space="preserve">1) Los </w:t>
      </w:r>
      <w:r>
        <w:t>12</w:t>
      </w:r>
      <w:r w:rsidRPr="00946587">
        <w:t xml:space="preserve"> meses siguientes a la finalización del ejercicio económico en el que fue otorgado el beneficio para las empresas que contaban </w:t>
      </w:r>
      <w:r>
        <w:rPr>
          <w:b/>
        </w:rPr>
        <w:t>co</w:t>
      </w:r>
      <w:r w:rsidR="00AA65C3">
        <w:rPr>
          <w:b/>
        </w:rPr>
        <w:t>n menos de 800</w:t>
      </w:r>
      <w:r>
        <w:rPr>
          <w:b/>
        </w:rPr>
        <w:t xml:space="preserve"> trabajadore</w:t>
      </w:r>
      <w:r w:rsidRPr="00946587">
        <w:rPr>
          <w:b/>
        </w:rPr>
        <w:t xml:space="preserve">s </w:t>
      </w:r>
      <w:r>
        <w:t xml:space="preserve">al 29 </w:t>
      </w:r>
      <w:r w:rsidRPr="00946587">
        <w:t xml:space="preserve">de febrero de 2020, y </w:t>
      </w:r>
    </w:p>
    <w:p w14:paraId="2348EFAB" w14:textId="77777777" w:rsidR="006B356B" w:rsidRPr="00946587" w:rsidRDefault="00946587" w:rsidP="00DC6D78">
      <w:r w:rsidRPr="00946587">
        <w:t xml:space="preserve">2) Los </w:t>
      </w:r>
      <w:r>
        <w:t>24</w:t>
      </w:r>
      <w:r w:rsidRPr="00946587">
        <w:t xml:space="preserve"> meses siguientes a la finalización del ejercicio económico en el que fue otorgado el beneficio para las empresas que contaban </w:t>
      </w:r>
      <w:r w:rsidR="005C676D">
        <w:rPr>
          <w:b/>
        </w:rPr>
        <w:t xml:space="preserve">con más de 800 </w:t>
      </w:r>
      <w:r w:rsidRPr="00946587">
        <w:rPr>
          <w:b/>
        </w:rPr>
        <w:t>trabajadores</w:t>
      </w:r>
      <w:r w:rsidRPr="00946587">
        <w:t xml:space="preserve"> al 29 de febrero de 2020.</w:t>
      </w:r>
    </w:p>
    <w:p w14:paraId="401F2D31" w14:textId="77777777" w:rsidR="00A70CA1" w:rsidRDefault="00A70CA1" w:rsidP="00DC6D78">
      <w:pPr>
        <w:rPr>
          <w:i/>
        </w:rPr>
      </w:pPr>
    </w:p>
    <w:p w14:paraId="071581E1" w14:textId="77777777" w:rsidR="00AA65C3" w:rsidRDefault="00AA65C3" w:rsidP="00DC6D78">
      <w:r>
        <w:t xml:space="preserve">En primer </w:t>
      </w:r>
      <w:proofErr w:type="gramStart"/>
      <w:r>
        <w:t>lugar</w:t>
      </w:r>
      <w:proofErr w:type="gramEnd"/>
      <w:r>
        <w:t xml:space="preserve"> queremos alertar sobre el error de redacción que implicaría no poder situar a la empresa de 800 trabajadores en ninguno de los dos incisos, por lo que volvemos a la referencia del punto 1.5 del Acta N° 4, que se refiere a empresas de hasta 800 trabajadores y de más de 800.</w:t>
      </w:r>
    </w:p>
    <w:p w14:paraId="5F243661" w14:textId="77777777" w:rsidR="00AA65C3" w:rsidRDefault="00AA65C3" w:rsidP="00DC6D78"/>
    <w:p w14:paraId="0B47166F" w14:textId="77777777" w:rsidR="00AA65C3" w:rsidRDefault="008D303E" w:rsidP="00DC6D78">
      <w:r>
        <w:t xml:space="preserve">Por otro </w:t>
      </w:r>
      <w:proofErr w:type="gramStart"/>
      <w:r>
        <w:t>lado</w:t>
      </w:r>
      <w:proofErr w:type="gramEnd"/>
      <w:r>
        <w:t xml:space="preserve"> volver a insistir en algo que ya dijimos en trabajos anteriores</w:t>
      </w:r>
      <w:r w:rsidR="00AA65C3">
        <w:t xml:space="preserve"> </w:t>
      </w:r>
      <w:r>
        <w:t xml:space="preserve">en cuanto a </w:t>
      </w:r>
      <w:r w:rsidR="00AA65C3">
        <w:t xml:space="preserve">que </w:t>
      </w:r>
      <w:r w:rsidR="00AA65C3" w:rsidRPr="00AA65C3">
        <w:rPr>
          <w:b/>
        </w:rPr>
        <w:t>las empresas de hasta 800 trabajadores no tuvieron</w:t>
      </w:r>
      <w:r w:rsidR="00AA65C3">
        <w:rPr>
          <w:b/>
        </w:rPr>
        <w:t xml:space="preserve"> (ni tienen)</w:t>
      </w:r>
      <w:r w:rsidR="00AA65C3" w:rsidRPr="00AA65C3">
        <w:rPr>
          <w:b/>
        </w:rPr>
        <w:t xml:space="preserve"> ninguna restricción con respecto al Salario Complementario del </w:t>
      </w:r>
      <w:r w:rsidR="00AA65C3" w:rsidRPr="008D303E">
        <w:rPr>
          <w:b/>
          <w:u w:val="single"/>
        </w:rPr>
        <w:t>mes de Abril</w:t>
      </w:r>
      <w:r w:rsidR="00AA65C3">
        <w:t>.</w:t>
      </w:r>
    </w:p>
    <w:p w14:paraId="41346914" w14:textId="77777777" w:rsidR="00AA65C3" w:rsidRDefault="00AA65C3" w:rsidP="00DC6D78"/>
    <w:p w14:paraId="12B00C6B" w14:textId="77777777" w:rsidR="00AA65C3" w:rsidRDefault="00AA65C3" w:rsidP="00DC6D78">
      <w:r>
        <w:t>Recordamos las restricciones, que son las siguientes:</w:t>
      </w:r>
    </w:p>
    <w:p w14:paraId="06D92AC8" w14:textId="77777777" w:rsidR="00AA65C3" w:rsidRDefault="00AA65C3" w:rsidP="00DC6D78"/>
    <w:p w14:paraId="544B0030" w14:textId="77777777" w:rsidR="00EF3FBA" w:rsidRDefault="005A080E" w:rsidP="00EF3FBA">
      <w:pPr>
        <w:ind w:left="708"/>
      </w:pPr>
      <w:r w:rsidRPr="005A080E">
        <w:t xml:space="preserve">• </w:t>
      </w:r>
      <w:r w:rsidR="00EF3FBA">
        <w:t xml:space="preserve"> </w:t>
      </w:r>
      <w:r w:rsidRPr="005A080E">
        <w:t>No podrán distribuir utilidades por los períodos fiscales cerrados a partir de noviembre de 2019.</w:t>
      </w:r>
    </w:p>
    <w:p w14:paraId="5C5320DB" w14:textId="77777777" w:rsidR="00EF3FBA" w:rsidRDefault="005A080E" w:rsidP="00EF3FBA">
      <w:pPr>
        <w:ind w:left="708"/>
      </w:pPr>
      <w:r w:rsidRPr="005A080E">
        <w:br/>
        <w:t>•</w:t>
      </w:r>
      <w:r w:rsidR="00EF3FBA">
        <w:t xml:space="preserve">  </w:t>
      </w:r>
      <w:r w:rsidRPr="005A080E">
        <w:t xml:space="preserve"> No podrán recomprar sus acciones directa o indirectamente.</w:t>
      </w:r>
    </w:p>
    <w:p w14:paraId="7C204F37" w14:textId="77777777" w:rsidR="00EF3FBA" w:rsidRDefault="005A080E" w:rsidP="00EF3FBA">
      <w:pPr>
        <w:ind w:left="708"/>
      </w:pPr>
      <w:r w:rsidRPr="005A080E">
        <w:br/>
        <w:t xml:space="preserve">• </w:t>
      </w:r>
      <w:r w:rsidR="00EF3FBA">
        <w:t xml:space="preserve">  </w:t>
      </w:r>
      <w:r w:rsidRPr="005A080E">
        <w:t>No podrán adquirir títulos valores en pesos para su posterior e inmediata venta en moneda extranjera o su transferencia en custodia al exterior.</w:t>
      </w:r>
    </w:p>
    <w:p w14:paraId="7E8BF321" w14:textId="77777777" w:rsidR="00AA65C3" w:rsidRDefault="005A080E" w:rsidP="00EF3FBA">
      <w:pPr>
        <w:ind w:left="708"/>
      </w:pPr>
      <w:r w:rsidRPr="005A080E">
        <w:br/>
      </w:r>
      <w:r w:rsidR="00EF3FBA">
        <w:t xml:space="preserve">• </w:t>
      </w:r>
      <w:r w:rsidRPr="005A080E">
        <w:t>No podrán realizar erogaciones de ninguna especie a sujetos relacionados directa o indirectamente con el beneficiario cuya residencia, radicación o domicilio se encuentre en una jurisdicción no cooperante o de baja o nula tributación.</w:t>
      </w:r>
    </w:p>
    <w:p w14:paraId="59FB2675" w14:textId="77777777" w:rsidR="00EF3FBA" w:rsidRDefault="00EF3FBA" w:rsidP="00EF3FBA">
      <w:pPr>
        <w:ind w:left="708"/>
      </w:pPr>
    </w:p>
    <w:p w14:paraId="12FF3EE2" w14:textId="77777777" w:rsidR="00EF3FBA" w:rsidRDefault="00EF3FBA" w:rsidP="00EF3FBA">
      <w:r w:rsidRPr="00EF3FBA">
        <w:rPr>
          <w:b/>
        </w:rPr>
        <w:t>Adicionalmente</w:t>
      </w:r>
      <w:r w:rsidRPr="00EF3FBA">
        <w:t xml:space="preserve">, </w:t>
      </w:r>
      <w:r w:rsidRPr="00EF3FBA">
        <w:rPr>
          <w:b/>
        </w:rPr>
        <w:t>las empresas de más de OCHOCIENTOS (800) trabajadores</w:t>
      </w:r>
      <w:r>
        <w:t xml:space="preserve"> al 29 de febrero de 20</w:t>
      </w:r>
      <w:r w:rsidRPr="00EF3FBA">
        <w:t>20</w:t>
      </w:r>
      <w:r w:rsidR="008D303E">
        <w:t xml:space="preserve"> (</w:t>
      </w:r>
      <w:r w:rsidRPr="008D303E">
        <w:t>ya se aplica desde junio</w:t>
      </w:r>
      <w:r w:rsidR="008D303E">
        <w:t>)</w:t>
      </w:r>
      <w:r>
        <w:t xml:space="preserve">, </w:t>
      </w:r>
      <w:r w:rsidRPr="00EF3FBA">
        <w:t xml:space="preserve">no podrán incrementar los honorarios, salarios o anticipos de los miembros de los órganos de administración </w:t>
      </w:r>
      <w:r w:rsidRPr="00EF3FBA">
        <w:lastRenderedPageBreak/>
        <w:t xml:space="preserve">más de un </w:t>
      </w:r>
      <w:r w:rsidR="008D303E">
        <w:t>5%</w:t>
      </w:r>
      <w:r w:rsidRPr="00EF3FBA">
        <w:t xml:space="preserve"> en términos nominales de su valor en pesos moneda nacional, respecto del último monto establecido por el plazo de vigencia a que se refieren los conceptos enumerados en los párrafos precedentes. Quedan incluidos dentro de igual limitación los pagos adicionales, bonificaciones u honorarios extraordinarios vinculados al cumplimiento de determinados resultados.</w:t>
      </w:r>
    </w:p>
    <w:p w14:paraId="651C188D" w14:textId="77777777" w:rsidR="00F27182" w:rsidRDefault="00F27182" w:rsidP="00EF3FBA"/>
    <w:p w14:paraId="01E6B8C3" w14:textId="77777777" w:rsidR="00F27182" w:rsidRDefault="00F27182" w:rsidP="00EF3FBA"/>
    <w:p w14:paraId="0B4AB4A9" w14:textId="77777777" w:rsidR="00F27182" w:rsidRDefault="00F27182" w:rsidP="00EF3FBA">
      <w:pPr>
        <w:rPr>
          <w:b/>
          <w:u w:val="single"/>
        </w:rPr>
      </w:pPr>
      <w:r w:rsidRPr="00F27182">
        <w:rPr>
          <w:b/>
          <w:u w:val="single"/>
        </w:rPr>
        <w:t xml:space="preserve">Créditos a tasa 0 para </w:t>
      </w:r>
      <w:proofErr w:type="spellStart"/>
      <w:r w:rsidRPr="00F27182">
        <w:rPr>
          <w:b/>
          <w:u w:val="single"/>
        </w:rPr>
        <w:t>monotributistas</w:t>
      </w:r>
      <w:proofErr w:type="spellEnd"/>
      <w:r w:rsidRPr="00F27182">
        <w:rPr>
          <w:b/>
          <w:u w:val="single"/>
        </w:rPr>
        <w:t xml:space="preserve"> y autónomos</w:t>
      </w:r>
      <w:r>
        <w:rPr>
          <w:b/>
          <w:u w:val="single"/>
        </w:rPr>
        <w:t xml:space="preserve"> (punto 1 del Acta 19)</w:t>
      </w:r>
    </w:p>
    <w:p w14:paraId="4C016421" w14:textId="77777777" w:rsidR="00F27182" w:rsidRDefault="00F27182" w:rsidP="00EF3FBA">
      <w:pPr>
        <w:rPr>
          <w:b/>
          <w:u w:val="single"/>
        </w:rPr>
      </w:pPr>
    </w:p>
    <w:p w14:paraId="6C6B2150" w14:textId="77777777" w:rsidR="00F27182" w:rsidRPr="00F27182" w:rsidRDefault="00F27182" w:rsidP="00EF3FBA">
      <w:r>
        <w:t xml:space="preserve">Sin mencionar siquiera a los sujetos se extiende la posibilidad de otorgamiento de dicho beneficio hasta el </w:t>
      </w:r>
      <w:r w:rsidRPr="00F27182">
        <w:rPr>
          <w:b/>
        </w:rPr>
        <w:t>30 de septiembre</w:t>
      </w:r>
      <w:r>
        <w:t>.</w:t>
      </w:r>
    </w:p>
    <w:p w14:paraId="64E9FB16" w14:textId="77777777" w:rsidR="00EF3FBA" w:rsidRDefault="00EF3FBA" w:rsidP="00EF3FBA">
      <w:pPr>
        <w:ind w:left="708"/>
      </w:pPr>
    </w:p>
    <w:p w14:paraId="7F527319" w14:textId="77777777" w:rsidR="00AA65C3" w:rsidRDefault="00AA65C3" w:rsidP="00DC6D78"/>
    <w:p w14:paraId="19168CCE" w14:textId="77777777" w:rsidR="00AA65C3" w:rsidRPr="00AA65C3" w:rsidRDefault="00AA65C3" w:rsidP="00DC6D78"/>
    <w:p w14:paraId="11248518" w14:textId="77777777" w:rsidR="00A70CA1" w:rsidRPr="00946587" w:rsidRDefault="00A70CA1" w:rsidP="00DC6D78">
      <w:pPr>
        <w:rPr>
          <w:i/>
          <w:lang w:val="es-AR"/>
        </w:rPr>
      </w:pPr>
    </w:p>
    <w:sectPr w:rsidR="00A70CA1" w:rsidRPr="00946587">
      <w:endnotePr>
        <w:numFmt w:val="decimal"/>
      </w:endnotePr>
      <w:pgSz w:w="11907" w:h="16840" w:code="9"/>
      <w:pgMar w:top="2835" w:right="851" w:bottom="1463" w:left="2268" w:header="709" w:footer="709" w:gutter="0"/>
      <w:paperSrc w:first="1"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CF5F9" w14:textId="77777777" w:rsidR="00DE74F9" w:rsidRDefault="00DE74F9">
      <w:r>
        <w:separator/>
      </w:r>
    </w:p>
  </w:endnote>
  <w:endnote w:type="continuationSeparator" w:id="0">
    <w:p w14:paraId="1B81C2B2" w14:textId="77777777" w:rsidR="00DE74F9" w:rsidRDefault="00DE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BB7C" w14:textId="77777777" w:rsidR="00DE74F9" w:rsidRDefault="00DE74F9">
      <w:r>
        <w:separator/>
      </w:r>
    </w:p>
  </w:footnote>
  <w:footnote w:type="continuationSeparator" w:id="0">
    <w:p w14:paraId="40D96B4B" w14:textId="77777777" w:rsidR="00DE74F9" w:rsidRDefault="00DE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556"/>
    <w:multiLevelType w:val="hybridMultilevel"/>
    <w:tmpl w:val="E6166EE2"/>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15:restartNumberingAfterBreak="0">
    <w:nsid w:val="0EAE5FBD"/>
    <w:multiLevelType w:val="hybridMultilevel"/>
    <w:tmpl w:val="390AA3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AA069EB"/>
    <w:multiLevelType w:val="hybridMultilevel"/>
    <w:tmpl w:val="6C348CCA"/>
    <w:lvl w:ilvl="0" w:tplc="BF3E40A6">
      <w:start w:val="1"/>
      <w:numFmt w:val="lowerRoman"/>
      <w:lvlText w:val="%1."/>
      <w:lvlJc w:val="left"/>
      <w:pPr>
        <w:ind w:left="1080" w:hanging="720"/>
      </w:pPr>
      <w:rPr>
        <w:rFonts w:ascii="Century Gothic" w:eastAsia="Times New Roman" w:hAnsi="Century Gothic" w:cs="Century Gothic"/>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15D3EEB"/>
    <w:multiLevelType w:val="hybridMultilevel"/>
    <w:tmpl w:val="F75403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A420F85"/>
    <w:multiLevelType w:val="hybridMultilevel"/>
    <w:tmpl w:val="35BAA8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B327833"/>
    <w:multiLevelType w:val="hybridMultilevel"/>
    <w:tmpl w:val="600AD7C8"/>
    <w:lvl w:ilvl="0" w:tplc="3DC6683C">
      <w:start w:val="1"/>
      <w:numFmt w:val="lowerRoman"/>
      <w:lvlText w:val="%1."/>
      <w:lvlJc w:val="left"/>
      <w:pPr>
        <w:ind w:left="780" w:hanging="72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6" w15:restartNumberingAfterBreak="0">
    <w:nsid w:val="5C0B69D6"/>
    <w:multiLevelType w:val="hybridMultilevel"/>
    <w:tmpl w:val="AC5E35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61A08B1"/>
    <w:multiLevelType w:val="hybridMultilevel"/>
    <w:tmpl w:val="1AC430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9CA1B7E"/>
    <w:multiLevelType w:val="hybridMultilevel"/>
    <w:tmpl w:val="C5307DD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56"/>
    <w:rsid w:val="00001756"/>
    <w:rsid w:val="00003DAF"/>
    <w:rsid w:val="00004EA8"/>
    <w:rsid w:val="00015C23"/>
    <w:rsid w:val="00025A02"/>
    <w:rsid w:val="00046173"/>
    <w:rsid w:val="0005686C"/>
    <w:rsid w:val="000632DB"/>
    <w:rsid w:val="000735C0"/>
    <w:rsid w:val="00073B1E"/>
    <w:rsid w:val="00073F1C"/>
    <w:rsid w:val="00084810"/>
    <w:rsid w:val="000A2672"/>
    <w:rsid w:val="000A6208"/>
    <w:rsid w:val="000C26F0"/>
    <w:rsid w:val="00103E16"/>
    <w:rsid w:val="001051DB"/>
    <w:rsid w:val="001070D5"/>
    <w:rsid w:val="0011211D"/>
    <w:rsid w:val="001238FE"/>
    <w:rsid w:val="00136809"/>
    <w:rsid w:val="00154636"/>
    <w:rsid w:val="00160AA2"/>
    <w:rsid w:val="0018216D"/>
    <w:rsid w:val="001A1BE6"/>
    <w:rsid w:val="001D25A8"/>
    <w:rsid w:val="001E2646"/>
    <w:rsid w:val="001F01EE"/>
    <w:rsid w:val="00212ADF"/>
    <w:rsid w:val="00221DEA"/>
    <w:rsid w:val="00250053"/>
    <w:rsid w:val="00255827"/>
    <w:rsid w:val="00276F59"/>
    <w:rsid w:val="00292206"/>
    <w:rsid w:val="002A7E6B"/>
    <w:rsid w:val="002D3DF3"/>
    <w:rsid w:val="002E0225"/>
    <w:rsid w:val="003D185B"/>
    <w:rsid w:val="004162F8"/>
    <w:rsid w:val="00420BB0"/>
    <w:rsid w:val="004275B2"/>
    <w:rsid w:val="00436C69"/>
    <w:rsid w:val="004454F8"/>
    <w:rsid w:val="00482814"/>
    <w:rsid w:val="00482E8C"/>
    <w:rsid w:val="00483446"/>
    <w:rsid w:val="00484CAF"/>
    <w:rsid w:val="0049156D"/>
    <w:rsid w:val="00495156"/>
    <w:rsid w:val="00504D78"/>
    <w:rsid w:val="0051307D"/>
    <w:rsid w:val="00537E1D"/>
    <w:rsid w:val="00543A2E"/>
    <w:rsid w:val="005467DC"/>
    <w:rsid w:val="00561E25"/>
    <w:rsid w:val="00582F19"/>
    <w:rsid w:val="0058594B"/>
    <w:rsid w:val="005950E7"/>
    <w:rsid w:val="005A080E"/>
    <w:rsid w:val="005A14CC"/>
    <w:rsid w:val="005B15DF"/>
    <w:rsid w:val="005C3D05"/>
    <w:rsid w:val="005C676D"/>
    <w:rsid w:val="005E6B78"/>
    <w:rsid w:val="005F2600"/>
    <w:rsid w:val="00601B1B"/>
    <w:rsid w:val="00602FD6"/>
    <w:rsid w:val="006060D9"/>
    <w:rsid w:val="00606B7E"/>
    <w:rsid w:val="00627B92"/>
    <w:rsid w:val="00655A04"/>
    <w:rsid w:val="006639B7"/>
    <w:rsid w:val="00664598"/>
    <w:rsid w:val="0067100F"/>
    <w:rsid w:val="00687204"/>
    <w:rsid w:val="006914CD"/>
    <w:rsid w:val="006B1A4A"/>
    <w:rsid w:val="006B356B"/>
    <w:rsid w:val="006D0AAE"/>
    <w:rsid w:val="007148FE"/>
    <w:rsid w:val="007245EB"/>
    <w:rsid w:val="00726D00"/>
    <w:rsid w:val="00773C8E"/>
    <w:rsid w:val="00773CAA"/>
    <w:rsid w:val="00790A22"/>
    <w:rsid w:val="007D17EF"/>
    <w:rsid w:val="007E553A"/>
    <w:rsid w:val="007E7464"/>
    <w:rsid w:val="007E76B0"/>
    <w:rsid w:val="007E7C3A"/>
    <w:rsid w:val="008259EA"/>
    <w:rsid w:val="00833022"/>
    <w:rsid w:val="00841951"/>
    <w:rsid w:val="00846125"/>
    <w:rsid w:val="008759ED"/>
    <w:rsid w:val="008828DC"/>
    <w:rsid w:val="00893201"/>
    <w:rsid w:val="008C30E9"/>
    <w:rsid w:val="008C4070"/>
    <w:rsid w:val="008D303E"/>
    <w:rsid w:val="008E098F"/>
    <w:rsid w:val="008F0A1B"/>
    <w:rsid w:val="008F7473"/>
    <w:rsid w:val="00913183"/>
    <w:rsid w:val="0092465B"/>
    <w:rsid w:val="00944744"/>
    <w:rsid w:val="00946587"/>
    <w:rsid w:val="009609E8"/>
    <w:rsid w:val="009651F1"/>
    <w:rsid w:val="00967662"/>
    <w:rsid w:val="00982783"/>
    <w:rsid w:val="0099065F"/>
    <w:rsid w:val="009B2DAC"/>
    <w:rsid w:val="009B624A"/>
    <w:rsid w:val="009E0091"/>
    <w:rsid w:val="009E153A"/>
    <w:rsid w:val="00A275FB"/>
    <w:rsid w:val="00A44AF8"/>
    <w:rsid w:val="00A70552"/>
    <w:rsid w:val="00A70CA1"/>
    <w:rsid w:val="00A929FD"/>
    <w:rsid w:val="00A9585A"/>
    <w:rsid w:val="00AA65C3"/>
    <w:rsid w:val="00AD433A"/>
    <w:rsid w:val="00B37248"/>
    <w:rsid w:val="00B476C4"/>
    <w:rsid w:val="00B51AAF"/>
    <w:rsid w:val="00B70C54"/>
    <w:rsid w:val="00BA0815"/>
    <w:rsid w:val="00BA2EB5"/>
    <w:rsid w:val="00BB18F2"/>
    <w:rsid w:val="00BB483B"/>
    <w:rsid w:val="00BE595E"/>
    <w:rsid w:val="00C025FA"/>
    <w:rsid w:val="00C6083B"/>
    <w:rsid w:val="00C771E0"/>
    <w:rsid w:val="00C85911"/>
    <w:rsid w:val="00CA12A6"/>
    <w:rsid w:val="00CA6142"/>
    <w:rsid w:val="00CB2E04"/>
    <w:rsid w:val="00CD75F3"/>
    <w:rsid w:val="00CE00E4"/>
    <w:rsid w:val="00CF2862"/>
    <w:rsid w:val="00D27887"/>
    <w:rsid w:val="00D35FD0"/>
    <w:rsid w:val="00D8348E"/>
    <w:rsid w:val="00DA7F2A"/>
    <w:rsid w:val="00DB0CB6"/>
    <w:rsid w:val="00DC6D78"/>
    <w:rsid w:val="00DD6C6D"/>
    <w:rsid w:val="00DE20FD"/>
    <w:rsid w:val="00DE74F9"/>
    <w:rsid w:val="00E22D90"/>
    <w:rsid w:val="00E2396E"/>
    <w:rsid w:val="00E41BC3"/>
    <w:rsid w:val="00E6272D"/>
    <w:rsid w:val="00E72255"/>
    <w:rsid w:val="00ED4FC5"/>
    <w:rsid w:val="00EE209A"/>
    <w:rsid w:val="00EF3FBA"/>
    <w:rsid w:val="00F03976"/>
    <w:rsid w:val="00F27182"/>
    <w:rsid w:val="00F31E3B"/>
    <w:rsid w:val="00F32222"/>
    <w:rsid w:val="00F406C1"/>
    <w:rsid w:val="00F472A8"/>
    <w:rsid w:val="00F761E3"/>
    <w:rsid w:val="00F85ADE"/>
    <w:rsid w:val="00FB00F3"/>
    <w:rsid w:val="00FC5A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8B4C8"/>
  <w14:defaultImageDpi w14:val="0"/>
  <w15:chartTrackingRefBased/>
  <w15:docId w15:val="{DD2F1130-1940-43DC-A515-2E3D68A9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jc w:val="both"/>
    </w:pPr>
    <w:rPr>
      <w:rFonts w:ascii="Century Gothic" w:hAnsi="Century Gothic" w:cs="Century Gothic"/>
      <w:sz w:val="22"/>
      <w:szCs w:val="22"/>
      <w:lang w:val="es-ES_tradn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uiPriority w:val="99"/>
    <w:rPr>
      <w:rFonts w:cs="Times New Roman"/>
      <w:color w:val="0000FF"/>
      <w:u w:val="single"/>
    </w:rPr>
  </w:style>
  <w:style w:type="paragraph" w:styleId="Textonotaalfinal">
    <w:name w:val="endnote text"/>
    <w:basedOn w:val="Normal"/>
    <w:link w:val="TextonotaalfinalCar"/>
    <w:uiPriority w:val="99"/>
    <w:semiHidden/>
    <w:rsid w:val="00483446"/>
    <w:rPr>
      <w:sz w:val="20"/>
      <w:szCs w:val="20"/>
    </w:rPr>
  </w:style>
  <w:style w:type="character" w:customStyle="1" w:styleId="TextonotaalfinalCar">
    <w:name w:val="Texto nota al final Car"/>
    <w:link w:val="Textonotaalfinal"/>
    <w:uiPriority w:val="99"/>
    <w:semiHidden/>
    <w:locked/>
    <w:rPr>
      <w:rFonts w:ascii="Century Gothic" w:hAnsi="Century Gothic" w:cs="Century Gothic"/>
      <w:sz w:val="20"/>
      <w:szCs w:val="20"/>
      <w:lang w:val="es-ES_tradnl" w:eastAsia="es-AR"/>
    </w:rPr>
  </w:style>
  <w:style w:type="character" w:styleId="Refdenotaalfinal">
    <w:name w:val="endnote reference"/>
    <w:uiPriority w:val="99"/>
    <w:semiHidden/>
    <w:rsid w:val="00483446"/>
    <w:rPr>
      <w:rFonts w:cs="Times New Roman"/>
      <w:vertAlign w:val="superscript"/>
    </w:rPr>
  </w:style>
  <w:style w:type="paragraph" w:styleId="Textonotapie">
    <w:name w:val="footnote text"/>
    <w:basedOn w:val="Normal"/>
    <w:link w:val="TextonotapieCar"/>
    <w:uiPriority w:val="99"/>
    <w:semiHidden/>
    <w:rsid w:val="00726D00"/>
    <w:rPr>
      <w:sz w:val="20"/>
      <w:szCs w:val="20"/>
    </w:rPr>
  </w:style>
  <w:style w:type="character" w:customStyle="1" w:styleId="TextonotapieCar">
    <w:name w:val="Texto nota pie Car"/>
    <w:link w:val="Textonotapie"/>
    <w:uiPriority w:val="99"/>
    <w:semiHidden/>
    <w:locked/>
    <w:rPr>
      <w:rFonts w:ascii="Century Gothic" w:hAnsi="Century Gothic" w:cs="Century Gothic"/>
      <w:sz w:val="20"/>
      <w:szCs w:val="20"/>
      <w:lang w:val="es-ES_tradnl" w:eastAsia="es-AR"/>
    </w:rPr>
  </w:style>
  <w:style w:type="character" w:styleId="Refdenotaalpie">
    <w:name w:val="footnote reference"/>
    <w:uiPriority w:val="99"/>
    <w:semiHidden/>
    <w:rsid w:val="00726D00"/>
    <w:rPr>
      <w:rFonts w:cs="Times New Roman"/>
      <w:vertAlign w:val="superscript"/>
    </w:rPr>
  </w:style>
  <w:style w:type="paragraph" w:styleId="HTMLconformatoprevio">
    <w:name w:val="HTML Preformatted"/>
    <w:basedOn w:val="Normal"/>
    <w:link w:val="HTMLconformatoprevioCar"/>
    <w:uiPriority w:val="99"/>
    <w:rsid w:val="00DA7F2A"/>
    <w:rPr>
      <w:rFonts w:ascii="Courier New" w:hAnsi="Courier New" w:cs="Courier New"/>
      <w:sz w:val="20"/>
      <w:szCs w:val="20"/>
    </w:rPr>
  </w:style>
  <w:style w:type="character" w:customStyle="1" w:styleId="HTMLconformatoprevioCar">
    <w:name w:val="HTML con formato previo Car"/>
    <w:link w:val="HTMLconformatoprevio"/>
    <w:uiPriority w:val="99"/>
    <w:semiHidden/>
    <w:locked/>
    <w:rPr>
      <w:rFonts w:ascii="Courier New" w:hAnsi="Courier New" w:cs="Courier New"/>
      <w:sz w:val="20"/>
      <w:szCs w:val="20"/>
      <w:lang w:val="es-ES_tradnl" w:eastAsia="x-none"/>
    </w:rPr>
  </w:style>
  <w:style w:type="paragraph" w:styleId="NormalWeb">
    <w:name w:val="Normal (Web)"/>
    <w:basedOn w:val="Normal"/>
    <w:uiPriority w:val="99"/>
    <w:semiHidden/>
    <w:unhideWhenUsed/>
    <w:rsid w:val="000C26F0"/>
    <w:rPr>
      <w:rFonts w:ascii="Times New Roman" w:hAnsi="Times New Roman" w:cs="Times New Roman"/>
      <w:sz w:val="24"/>
      <w:szCs w:val="24"/>
    </w:rPr>
  </w:style>
  <w:style w:type="table" w:styleId="Tablaconcuadrcula">
    <w:name w:val="Table Grid"/>
    <w:basedOn w:val="Tablanormal"/>
    <w:uiPriority w:val="59"/>
    <w:rsid w:val="0048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53580">
      <w:bodyDiv w:val="1"/>
      <w:marLeft w:val="0"/>
      <w:marRight w:val="0"/>
      <w:marTop w:val="0"/>
      <w:marBottom w:val="0"/>
      <w:divBdr>
        <w:top w:val="none" w:sz="0" w:space="0" w:color="auto"/>
        <w:left w:val="none" w:sz="0" w:space="0" w:color="auto"/>
        <w:bottom w:val="none" w:sz="0" w:space="0" w:color="auto"/>
        <w:right w:val="none" w:sz="0" w:space="0" w:color="auto"/>
      </w:divBdr>
    </w:div>
    <w:div w:id="1063023944">
      <w:marLeft w:val="0"/>
      <w:marRight w:val="0"/>
      <w:marTop w:val="0"/>
      <w:marBottom w:val="0"/>
      <w:divBdr>
        <w:top w:val="none" w:sz="0" w:space="0" w:color="auto"/>
        <w:left w:val="none" w:sz="0" w:space="0" w:color="auto"/>
        <w:bottom w:val="none" w:sz="0" w:space="0" w:color="auto"/>
        <w:right w:val="none" w:sz="0" w:space="0" w:color="auto"/>
      </w:divBdr>
      <w:divsChild>
        <w:div w:id="1063023982">
          <w:marLeft w:val="0"/>
          <w:marRight w:val="0"/>
          <w:marTop w:val="0"/>
          <w:marBottom w:val="0"/>
          <w:divBdr>
            <w:top w:val="none" w:sz="0" w:space="0" w:color="auto"/>
            <w:left w:val="none" w:sz="0" w:space="0" w:color="auto"/>
            <w:bottom w:val="none" w:sz="0" w:space="0" w:color="auto"/>
            <w:right w:val="none" w:sz="0" w:space="0" w:color="auto"/>
          </w:divBdr>
        </w:div>
        <w:div w:id="1063023985">
          <w:marLeft w:val="0"/>
          <w:marRight w:val="0"/>
          <w:marTop w:val="0"/>
          <w:marBottom w:val="0"/>
          <w:divBdr>
            <w:top w:val="none" w:sz="0" w:space="0" w:color="auto"/>
            <w:left w:val="none" w:sz="0" w:space="0" w:color="auto"/>
            <w:bottom w:val="none" w:sz="0" w:space="0" w:color="auto"/>
            <w:right w:val="none" w:sz="0" w:space="0" w:color="auto"/>
          </w:divBdr>
        </w:div>
        <w:div w:id="1063023987">
          <w:marLeft w:val="0"/>
          <w:marRight w:val="0"/>
          <w:marTop w:val="0"/>
          <w:marBottom w:val="0"/>
          <w:divBdr>
            <w:top w:val="none" w:sz="0" w:space="0" w:color="auto"/>
            <w:left w:val="none" w:sz="0" w:space="0" w:color="auto"/>
            <w:bottom w:val="none" w:sz="0" w:space="0" w:color="auto"/>
            <w:right w:val="none" w:sz="0" w:space="0" w:color="auto"/>
          </w:divBdr>
        </w:div>
        <w:div w:id="1063023988">
          <w:marLeft w:val="0"/>
          <w:marRight w:val="0"/>
          <w:marTop w:val="0"/>
          <w:marBottom w:val="0"/>
          <w:divBdr>
            <w:top w:val="none" w:sz="0" w:space="0" w:color="auto"/>
            <w:left w:val="none" w:sz="0" w:space="0" w:color="auto"/>
            <w:bottom w:val="none" w:sz="0" w:space="0" w:color="auto"/>
            <w:right w:val="none" w:sz="0" w:space="0" w:color="auto"/>
          </w:divBdr>
        </w:div>
        <w:div w:id="1063023989">
          <w:marLeft w:val="0"/>
          <w:marRight w:val="0"/>
          <w:marTop w:val="0"/>
          <w:marBottom w:val="0"/>
          <w:divBdr>
            <w:top w:val="none" w:sz="0" w:space="0" w:color="auto"/>
            <w:left w:val="none" w:sz="0" w:space="0" w:color="auto"/>
            <w:bottom w:val="none" w:sz="0" w:space="0" w:color="auto"/>
            <w:right w:val="none" w:sz="0" w:space="0" w:color="auto"/>
          </w:divBdr>
        </w:div>
      </w:divsChild>
    </w:div>
    <w:div w:id="1063023945">
      <w:marLeft w:val="0"/>
      <w:marRight w:val="0"/>
      <w:marTop w:val="0"/>
      <w:marBottom w:val="0"/>
      <w:divBdr>
        <w:top w:val="none" w:sz="0" w:space="0" w:color="auto"/>
        <w:left w:val="none" w:sz="0" w:space="0" w:color="auto"/>
        <w:bottom w:val="none" w:sz="0" w:space="0" w:color="auto"/>
        <w:right w:val="none" w:sz="0" w:space="0" w:color="auto"/>
      </w:divBdr>
    </w:div>
    <w:div w:id="1063023946">
      <w:marLeft w:val="0"/>
      <w:marRight w:val="0"/>
      <w:marTop w:val="0"/>
      <w:marBottom w:val="0"/>
      <w:divBdr>
        <w:top w:val="none" w:sz="0" w:space="0" w:color="auto"/>
        <w:left w:val="none" w:sz="0" w:space="0" w:color="auto"/>
        <w:bottom w:val="none" w:sz="0" w:space="0" w:color="auto"/>
        <w:right w:val="none" w:sz="0" w:space="0" w:color="auto"/>
      </w:divBdr>
      <w:divsChild>
        <w:div w:id="1063023947">
          <w:marLeft w:val="0"/>
          <w:marRight w:val="0"/>
          <w:marTop w:val="0"/>
          <w:marBottom w:val="0"/>
          <w:divBdr>
            <w:top w:val="none" w:sz="0" w:space="0" w:color="auto"/>
            <w:left w:val="none" w:sz="0" w:space="0" w:color="auto"/>
            <w:bottom w:val="none" w:sz="0" w:space="0" w:color="auto"/>
            <w:right w:val="none" w:sz="0" w:space="0" w:color="auto"/>
          </w:divBdr>
        </w:div>
      </w:divsChild>
    </w:div>
    <w:div w:id="1063023948">
      <w:marLeft w:val="0"/>
      <w:marRight w:val="0"/>
      <w:marTop w:val="0"/>
      <w:marBottom w:val="0"/>
      <w:divBdr>
        <w:top w:val="none" w:sz="0" w:space="0" w:color="auto"/>
        <w:left w:val="none" w:sz="0" w:space="0" w:color="auto"/>
        <w:bottom w:val="none" w:sz="0" w:space="0" w:color="auto"/>
        <w:right w:val="none" w:sz="0" w:space="0" w:color="auto"/>
      </w:divBdr>
      <w:divsChild>
        <w:div w:id="1063023949">
          <w:marLeft w:val="0"/>
          <w:marRight w:val="0"/>
          <w:marTop w:val="0"/>
          <w:marBottom w:val="0"/>
          <w:divBdr>
            <w:top w:val="none" w:sz="0" w:space="0" w:color="auto"/>
            <w:left w:val="none" w:sz="0" w:space="0" w:color="auto"/>
            <w:bottom w:val="none" w:sz="0" w:space="0" w:color="auto"/>
            <w:right w:val="none" w:sz="0" w:space="0" w:color="auto"/>
          </w:divBdr>
        </w:div>
      </w:divsChild>
    </w:div>
    <w:div w:id="1063023958">
      <w:marLeft w:val="0"/>
      <w:marRight w:val="0"/>
      <w:marTop w:val="0"/>
      <w:marBottom w:val="0"/>
      <w:divBdr>
        <w:top w:val="none" w:sz="0" w:space="0" w:color="auto"/>
        <w:left w:val="none" w:sz="0" w:space="0" w:color="auto"/>
        <w:bottom w:val="none" w:sz="0" w:space="0" w:color="auto"/>
        <w:right w:val="none" w:sz="0" w:space="0" w:color="auto"/>
      </w:divBdr>
      <w:divsChild>
        <w:div w:id="1063023965">
          <w:marLeft w:val="0"/>
          <w:marRight w:val="0"/>
          <w:marTop w:val="0"/>
          <w:marBottom w:val="0"/>
          <w:divBdr>
            <w:top w:val="none" w:sz="0" w:space="0" w:color="auto"/>
            <w:left w:val="none" w:sz="0" w:space="0" w:color="auto"/>
            <w:bottom w:val="none" w:sz="0" w:space="0" w:color="auto"/>
            <w:right w:val="none" w:sz="0" w:space="0" w:color="auto"/>
          </w:divBdr>
          <w:divsChild>
            <w:div w:id="1063023959">
              <w:marLeft w:val="0"/>
              <w:marRight w:val="0"/>
              <w:marTop w:val="0"/>
              <w:marBottom w:val="0"/>
              <w:divBdr>
                <w:top w:val="none" w:sz="0" w:space="0" w:color="auto"/>
                <w:left w:val="none" w:sz="0" w:space="0" w:color="auto"/>
                <w:bottom w:val="none" w:sz="0" w:space="0" w:color="auto"/>
                <w:right w:val="none" w:sz="0" w:space="0" w:color="auto"/>
              </w:divBdr>
              <w:divsChild>
                <w:div w:id="1063023952">
                  <w:marLeft w:val="0"/>
                  <w:marRight w:val="0"/>
                  <w:marTop w:val="0"/>
                  <w:marBottom w:val="0"/>
                  <w:divBdr>
                    <w:top w:val="none" w:sz="0" w:space="0" w:color="auto"/>
                    <w:left w:val="none" w:sz="0" w:space="0" w:color="auto"/>
                    <w:bottom w:val="none" w:sz="0" w:space="0" w:color="auto"/>
                    <w:right w:val="none" w:sz="0" w:space="0" w:color="auto"/>
                  </w:divBdr>
                  <w:divsChild>
                    <w:div w:id="1063023961">
                      <w:marLeft w:val="0"/>
                      <w:marRight w:val="0"/>
                      <w:marTop w:val="150"/>
                      <w:marBottom w:val="0"/>
                      <w:divBdr>
                        <w:top w:val="none" w:sz="0" w:space="0" w:color="auto"/>
                        <w:left w:val="none" w:sz="0" w:space="0" w:color="auto"/>
                        <w:bottom w:val="none" w:sz="0" w:space="0" w:color="auto"/>
                        <w:right w:val="none" w:sz="0" w:space="0" w:color="auto"/>
                      </w:divBdr>
                      <w:divsChild>
                        <w:div w:id="10630239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23962">
      <w:marLeft w:val="0"/>
      <w:marRight w:val="0"/>
      <w:marTop w:val="0"/>
      <w:marBottom w:val="0"/>
      <w:divBdr>
        <w:top w:val="none" w:sz="0" w:space="0" w:color="auto"/>
        <w:left w:val="none" w:sz="0" w:space="0" w:color="auto"/>
        <w:bottom w:val="none" w:sz="0" w:space="0" w:color="auto"/>
        <w:right w:val="none" w:sz="0" w:space="0" w:color="auto"/>
      </w:divBdr>
      <w:divsChild>
        <w:div w:id="1063023954">
          <w:marLeft w:val="0"/>
          <w:marRight w:val="0"/>
          <w:marTop w:val="0"/>
          <w:marBottom w:val="0"/>
          <w:divBdr>
            <w:top w:val="none" w:sz="0" w:space="0" w:color="auto"/>
            <w:left w:val="none" w:sz="0" w:space="0" w:color="auto"/>
            <w:bottom w:val="none" w:sz="0" w:space="0" w:color="auto"/>
            <w:right w:val="none" w:sz="0" w:space="0" w:color="auto"/>
          </w:divBdr>
          <w:divsChild>
            <w:div w:id="1063023968">
              <w:marLeft w:val="0"/>
              <w:marRight w:val="0"/>
              <w:marTop w:val="0"/>
              <w:marBottom w:val="0"/>
              <w:divBdr>
                <w:top w:val="none" w:sz="0" w:space="0" w:color="auto"/>
                <w:left w:val="none" w:sz="0" w:space="0" w:color="auto"/>
                <w:bottom w:val="none" w:sz="0" w:space="0" w:color="auto"/>
                <w:right w:val="none" w:sz="0" w:space="0" w:color="auto"/>
              </w:divBdr>
              <w:divsChild>
                <w:div w:id="1063023967">
                  <w:marLeft w:val="0"/>
                  <w:marRight w:val="0"/>
                  <w:marTop w:val="0"/>
                  <w:marBottom w:val="0"/>
                  <w:divBdr>
                    <w:top w:val="none" w:sz="0" w:space="0" w:color="auto"/>
                    <w:left w:val="none" w:sz="0" w:space="0" w:color="auto"/>
                    <w:bottom w:val="none" w:sz="0" w:space="0" w:color="auto"/>
                    <w:right w:val="none" w:sz="0" w:space="0" w:color="auto"/>
                  </w:divBdr>
                  <w:divsChild>
                    <w:div w:id="1063023964">
                      <w:marLeft w:val="0"/>
                      <w:marRight w:val="0"/>
                      <w:marTop w:val="150"/>
                      <w:marBottom w:val="0"/>
                      <w:divBdr>
                        <w:top w:val="none" w:sz="0" w:space="0" w:color="auto"/>
                        <w:left w:val="none" w:sz="0" w:space="0" w:color="auto"/>
                        <w:bottom w:val="none" w:sz="0" w:space="0" w:color="auto"/>
                        <w:right w:val="none" w:sz="0" w:space="0" w:color="auto"/>
                      </w:divBdr>
                      <w:divsChild>
                        <w:div w:id="10630239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23966">
      <w:marLeft w:val="0"/>
      <w:marRight w:val="0"/>
      <w:marTop w:val="0"/>
      <w:marBottom w:val="0"/>
      <w:divBdr>
        <w:top w:val="none" w:sz="0" w:space="0" w:color="auto"/>
        <w:left w:val="none" w:sz="0" w:space="0" w:color="auto"/>
        <w:bottom w:val="none" w:sz="0" w:space="0" w:color="auto"/>
        <w:right w:val="none" w:sz="0" w:space="0" w:color="auto"/>
      </w:divBdr>
      <w:divsChild>
        <w:div w:id="1063023971">
          <w:marLeft w:val="0"/>
          <w:marRight w:val="0"/>
          <w:marTop w:val="0"/>
          <w:marBottom w:val="0"/>
          <w:divBdr>
            <w:top w:val="none" w:sz="0" w:space="0" w:color="auto"/>
            <w:left w:val="none" w:sz="0" w:space="0" w:color="auto"/>
            <w:bottom w:val="none" w:sz="0" w:space="0" w:color="auto"/>
            <w:right w:val="none" w:sz="0" w:space="0" w:color="auto"/>
          </w:divBdr>
          <w:divsChild>
            <w:div w:id="1063023951">
              <w:marLeft w:val="0"/>
              <w:marRight w:val="0"/>
              <w:marTop w:val="0"/>
              <w:marBottom w:val="0"/>
              <w:divBdr>
                <w:top w:val="none" w:sz="0" w:space="0" w:color="auto"/>
                <w:left w:val="none" w:sz="0" w:space="0" w:color="auto"/>
                <w:bottom w:val="none" w:sz="0" w:space="0" w:color="auto"/>
                <w:right w:val="none" w:sz="0" w:space="0" w:color="auto"/>
              </w:divBdr>
              <w:divsChild>
                <w:div w:id="1063023953">
                  <w:marLeft w:val="0"/>
                  <w:marRight w:val="0"/>
                  <w:marTop w:val="0"/>
                  <w:marBottom w:val="0"/>
                  <w:divBdr>
                    <w:top w:val="none" w:sz="0" w:space="0" w:color="auto"/>
                    <w:left w:val="none" w:sz="0" w:space="0" w:color="auto"/>
                    <w:bottom w:val="none" w:sz="0" w:space="0" w:color="auto"/>
                    <w:right w:val="none" w:sz="0" w:space="0" w:color="auto"/>
                  </w:divBdr>
                  <w:divsChild>
                    <w:div w:id="1063023969">
                      <w:marLeft w:val="0"/>
                      <w:marRight w:val="0"/>
                      <w:marTop w:val="150"/>
                      <w:marBottom w:val="0"/>
                      <w:divBdr>
                        <w:top w:val="none" w:sz="0" w:space="0" w:color="auto"/>
                        <w:left w:val="none" w:sz="0" w:space="0" w:color="auto"/>
                        <w:bottom w:val="none" w:sz="0" w:space="0" w:color="auto"/>
                        <w:right w:val="none" w:sz="0" w:space="0" w:color="auto"/>
                      </w:divBdr>
                      <w:divsChild>
                        <w:div w:id="10630239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23973">
      <w:marLeft w:val="0"/>
      <w:marRight w:val="0"/>
      <w:marTop w:val="0"/>
      <w:marBottom w:val="0"/>
      <w:divBdr>
        <w:top w:val="none" w:sz="0" w:space="0" w:color="auto"/>
        <w:left w:val="none" w:sz="0" w:space="0" w:color="auto"/>
        <w:bottom w:val="none" w:sz="0" w:space="0" w:color="auto"/>
        <w:right w:val="none" w:sz="0" w:space="0" w:color="auto"/>
      </w:divBdr>
      <w:divsChild>
        <w:div w:id="1063023960">
          <w:marLeft w:val="0"/>
          <w:marRight w:val="0"/>
          <w:marTop w:val="0"/>
          <w:marBottom w:val="0"/>
          <w:divBdr>
            <w:top w:val="none" w:sz="0" w:space="0" w:color="auto"/>
            <w:left w:val="none" w:sz="0" w:space="0" w:color="auto"/>
            <w:bottom w:val="none" w:sz="0" w:space="0" w:color="auto"/>
            <w:right w:val="none" w:sz="0" w:space="0" w:color="auto"/>
          </w:divBdr>
          <w:divsChild>
            <w:div w:id="1063023950">
              <w:marLeft w:val="0"/>
              <w:marRight w:val="0"/>
              <w:marTop w:val="0"/>
              <w:marBottom w:val="0"/>
              <w:divBdr>
                <w:top w:val="none" w:sz="0" w:space="0" w:color="auto"/>
                <w:left w:val="none" w:sz="0" w:space="0" w:color="auto"/>
                <w:bottom w:val="none" w:sz="0" w:space="0" w:color="auto"/>
                <w:right w:val="none" w:sz="0" w:space="0" w:color="auto"/>
              </w:divBdr>
              <w:divsChild>
                <w:div w:id="1063023956">
                  <w:marLeft w:val="0"/>
                  <w:marRight w:val="0"/>
                  <w:marTop w:val="0"/>
                  <w:marBottom w:val="0"/>
                  <w:divBdr>
                    <w:top w:val="none" w:sz="0" w:space="0" w:color="auto"/>
                    <w:left w:val="none" w:sz="0" w:space="0" w:color="auto"/>
                    <w:bottom w:val="none" w:sz="0" w:space="0" w:color="auto"/>
                    <w:right w:val="none" w:sz="0" w:space="0" w:color="auto"/>
                  </w:divBdr>
                  <w:divsChild>
                    <w:div w:id="1063023955">
                      <w:marLeft w:val="0"/>
                      <w:marRight w:val="0"/>
                      <w:marTop w:val="150"/>
                      <w:marBottom w:val="0"/>
                      <w:divBdr>
                        <w:top w:val="none" w:sz="0" w:space="0" w:color="auto"/>
                        <w:left w:val="none" w:sz="0" w:space="0" w:color="auto"/>
                        <w:bottom w:val="none" w:sz="0" w:space="0" w:color="auto"/>
                        <w:right w:val="none" w:sz="0" w:space="0" w:color="auto"/>
                      </w:divBdr>
                      <w:divsChild>
                        <w:div w:id="1063023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23974">
      <w:marLeft w:val="0"/>
      <w:marRight w:val="0"/>
      <w:marTop w:val="0"/>
      <w:marBottom w:val="0"/>
      <w:divBdr>
        <w:top w:val="none" w:sz="0" w:space="0" w:color="auto"/>
        <w:left w:val="none" w:sz="0" w:space="0" w:color="auto"/>
        <w:bottom w:val="none" w:sz="0" w:space="0" w:color="auto"/>
        <w:right w:val="none" w:sz="0" w:space="0" w:color="auto"/>
      </w:divBdr>
    </w:div>
    <w:div w:id="1063023976">
      <w:marLeft w:val="0"/>
      <w:marRight w:val="0"/>
      <w:marTop w:val="0"/>
      <w:marBottom w:val="0"/>
      <w:divBdr>
        <w:top w:val="none" w:sz="0" w:space="0" w:color="auto"/>
        <w:left w:val="none" w:sz="0" w:space="0" w:color="auto"/>
        <w:bottom w:val="none" w:sz="0" w:space="0" w:color="auto"/>
        <w:right w:val="none" w:sz="0" w:space="0" w:color="auto"/>
      </w:divBdr>
      <w:divsChild>
        <w:div w:id="1063023978">
          <w:marLeft w:val="1650"/>
          <w:marRight w:val="0"/>
          <w:marTop w:val="15"/>
          <w:marBottom w:val="15"/>
          <w:divBdr>
            <w:top w:val="none" w:sz="0" w:space="0" w:color="auto"/>
            <w:left w:val="none" w:sz="0" w:space="0" w:color="auto"/>
            <w:bottom w:val="none" w:sz="0" w:space="0" w:color="auto"/>
            <w:right w:val="none" w:sz="0" w:space="0" w:color="auto"/>
          </w:divBdr>
          <w:divsChild>
            <w:div w:id="1063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979">
      <w:marLeft w:val="0"/>
      <w:marRight w:val="0"/>
      <w:marTop w:val="0"/>
      <w:marBottom w:val="0"/>
      <w:divBdr>
        <w:top w:val="none" w:sz="0" w:space="0" w:color="auto"/>
        <w:left w:val="none" w:sz="0" w:space="0" w:color="auto"/>
        <w:bottom w:val="none" w:sz="0" w:space="0" w:color="auto"/>
        <w:right w:val="none" w:sz="0" w:space="0" w:color="auto"/>
      </w:divBdr>
      <w:divsChild>
        <w:div w:id="1063023980">
          <w:marLeft w:val="1650"/>
          <w:marRight w:val="0"/>
          <w:marTop w:val="15"/>
          <w:marBottom w:val="15"/>
          <w:divBdr>
            <w:top w:val="none" w:sz="0" w:space="0" w:color="auto"/>
            <w:left w:val="none" w:sz="0" w:space="0" w:color="auto"/>
            <w:bottom w:val="none" w:sz="0" w:space="0" w:color="auto"/>
            <w:right w:val="none" w:sz="0" w:space="0" w:color="auto"/>
          </w:divBdr>
          <w:divsChild>
            <w:div w:id="10630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981">
      <w:marLeft w:val="0"/>
      <w:marRight w:val="0"/>
      <w:marTop w:val="0"/>
      <w:marBottom w:val="0"/>
      <w:divBdr>
        <w:top w:val="none" w:sz="0" w:space="0" w:color="auto"/>
        <w:left w:val="none" w:sz="0" w:space="0" w:color="auto"/>
        <w:bottom w:val="none" w:sz="0" w:space="0" w:color="auto"/>
        <w:right w:val="none" w:sz="0" w:space="0" w:color="auto"/>
      </w:divBdr>
      <w:divsChild>
        <w:div w:id="1063023983">
          <w:marLeft w:val="0"/>
          <w:marRight w:val="0"/>
          <w:marTop w:val="0"/>
          <w:marBottom w:val="0"/>
          <w:divBdr>
            <w:top w:val="none" w:sz="0" w:space="0" w:color="auto"/>
            <w:left w:val="none" w:sz="0" w:space="0" w:color="auto"/>
            <w:bottom w:val="none" w:sz="0" w:space="0" w:color="auto"/>
            <w:right w:val="none" w:sz="0" w:space="0" w:color="auto"/>
          </w:divBdr>
        </w:div>
        <w:div w:id="1063023984">
          <w:marLeft w:val="0"/>
          <w:marRight w:val="0"/>
          <w:marTop w:val="0"/>
          <w:marBottom w:val="0"/>
          <w:divBdr>
            <w:top w:val="none" w:sz="0" w:space="0" w:color="auto"/>
            <w:left w:val="none" w:sz="0" w:space="0" w:color="auto"/>
            <w:bottom w:val="none" w:sz="0" w:space="0" w:color="auto"/>
            <w:right w:val="none" w:sz="0" w:space="0" w:color="auto"/>
          </w:divBdr>
        </w:div>
        <w:div w:id="1063023986">
          <w:marLeft w:val="0"/>
          <w:marRight w:val="0"/>
          <w:marTop w:val="0"/>
          <w:marBottom w:val="0"/>
          <w:divBdr>
            <w:top w:val="none" w:sz="0" w:space="0" w:color="auto"/>
            <w:left w:val="none" w:sz="0" w:space="0" w:color="auto"/>
            <w:bottom w:val="none" w:sz="0" w:space="0" w:color="auto"/>
            <w:right w:val="none" w:sz="0" w:space="0" w:color="auto"/>
          </w:divBdr>
        </w:div>
        <w:div w:id="106302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ra.gov.ar/BCRAyVos/Preg-Frec-Qu%C3%A9-significa-cada-situaci%C3%B3n-en-la-Central-de-deudores-considerando-s%C3%B3lo-la-mor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2191</Words>
  <Characters>12055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14218</CharactersWithSpaces>
  <SharedDoc>false</SharedDoc>
  <HLinks>
    <vt:vector size="6" baseType="variant">
      <vt:variant>
        <vt:i4>4718621</vt:i4>
      </vt:variant>
      <vt:variant>
        <vt:i4>0</vt:i4>
      </vt:variant>
      <vt:variant>
        <vt:i4>0</vt:i4>
      </vt:variant>
      <vt:variant>
        <vt:i4>5</vt:i4>
      </vt:variant>
      <vt:variant>
        <vt:lpwstr>http://www.bcra.gov.ar/BCRAyVos/Preg-Frec-Qu%C3%A9-significa-cada-situaci%C3%B3n-en-la-Central-de-deudores-considerando-s%C3%B3lo-la-mora.asp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cp:lastModifiedBy>FADEEAC - Sistemas</cp:lastModifiedBy>
  <cp:revision>2</cp:revision>
  <dcterms:created xsi:type="dcterms:W3CDTF">2020-07-29T20:13:00Z</dcterms:created>
  <dcterms:modified xsi:type="dcterms:W3CDTF">2020-07-29T20:13:00Z</dcterms:modified>
</cp:coreProperties>
</file>